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024" w:rsidRPr="00524024" w:rsidRDefault="00524024" w:rsidP="00524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lang w:eastAsia="pl-PL"/>
        </w:rPr>
      </w:pPr>
      <w:bookmarkStart w:id="0" w:name="_GoBack"/>
      <w:bookmarkEnd w:id="0"/>
    </w:p>
    <w:p w:rsidR="00524024" w:rsidRPr="00524024" w:rsidRDefault="00524024" w:rsidP="00524024">
      <w:pPr>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line="276" w:lineRule="auto"/>
        <w:ind w:left="5664" w:firstLine="5"/>
        <w:jc w:val="both"/>
        <w:rPr>
          <w:rFonts w:cs="Calibri"/>
          <w:lang w:eastAsia="pl-PL"/>
        </w:rPr>
      </w:pPr>
      <w:r w:rsidRPr="00524024">
        <w:rPr>
          <w:rFonts w:cs="Calibri"/>
          <w:lang w:eastAsia="pl-PL"/>
        </w:rPr>
        <w:t>Załącznik Nr 3</w:t>
      </w:r>
      <w:r w:rsidRPr="00524024">
        <w:rPr>
          <w:rFonts w:cs="Calibri"/>
          <w:lang w:eastAsia="pl-PL"/>
        </w:rPr>
        <w:tab/>
      </w:r>
      <w:r w:rsidRPr="00524024">
        <w:rPr>
          <w:rFonts w:cs="Calibri"/>
          <w:lang w:eastAsia="pl-PL"/>
        </w:rPr>
        <w:tab/>
        <w:t xml:space="preserve">             </w:t>
      </w:r>
      <w:r w:rsidRPr="00524024">
        <w:rPr>
          <w:rFonts w:cs="Calibri"/>
          <w:lang w:eastAsia="pl-PL"/>
        </w:rPr>
        <w:br/>
        <w:t>do Uchwały Nr</w:t>
      </w:r>
      <w:r w:rsidRPr="00524024">
        <w:rPr>
          <w:rFonts w:cs="Calibri"/>
          <w:lang w:eastAsia="pl-PL"/>
        </w:rPr>
        <w:tab/>
      </w:r>
      <w:r w:rsidRPr="00524024">
        <w:rPr>
          <w:rFonts w:cs="Calibri"/>
          <w:lang w:eastAsia="pl-PL"/>
        </w:rPr>
        <w:tab/>
      </w:r>
      <w:r w:rsidRPr="00524024">
        <w:rPr>
          <w:rFonts w:cs="Calibri"/>
          <w:lang w:eastAsia="pl-PL"/>
        </w:rPr>
        <w:tab/>
      </w:r>
      <w:r w:rsidRPr="00524024">
        <w:rPr>
          <w:rFonts w:cs="Calibri"/>
          <w:lang w:eastAsia="pl-PL"/>
        </w:rPr>
        <w:br/>
        <w:t>Rady Miejskiej Łomży</w:t>
      </w:r>
      <w:r w:rsidRPr="00524024">
        <w:rPr>
          <w:rFonts w:cs="Calibri"/>
          <w:lang w:eastAsia="pl-PL"/>
        </w:rPr>
        <w:tab/>
      </w:r>
      <w:r w:rsidRPr="00524024">
        <w:rPr>
          <w:rFonts w:cs="Calibri"/>
          <w:lang w:eastAsia="pl-PL"/>
        </w:rPr>
        <w:tab/>
      </w:r>
      <w:r w:rsidRPr="00524024">
        <w:rPr>
          <w:rFonts w:cs="Calibri"/>
          <w:lang w:eastAsia="pl-PL"/>
        </w:rPr>
        <w:br/>
        <w:t xml:space="preserve">z dnia </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r w:rsidRPr="00524024">
        <w:rPr>
          <w:rFonts w:ascii="Arial" w:hAnsi="Arial" w:cs="Arial"/>
          <w:b/>
          <w:bCs/>
          <w:lang w:eastAsia="pl-PL"/>
        </w:rPr>
        <w:t>Objaśnienie przyjętych wartości w Wieloletniej Prognozie Finansowej Miasta Łomży na lata 202</w:t>
      </w:r>
      <w:r w:rsidR="0091771D">
        <w:rPr>
          <w:rFonts w:ascii="Arial" w:hAnsi="Arial" w:cs="Arial"/>
          <w:b/>
          <w:bCs/>
          <w:lang w:eastAsia="pl-PL"/>
        </w:rPr>
        <w:t>1</w:t>
      </w:r>
      <w:r w:rsidR="008A5323">
        <w:rPr>
          <w:rFonts w:ascii="Arial" w:hAnsi="Arial" w:cs="Arial"/>
          <w:b/>
          <w:bCs/>
          <w:lang w:eastAsia="pl-PL"/>
        </w:rPr>
        <w:t xml:space="preserve"> </w:t>
      </w:r>
      <w:r w:rsidRPr="00524024">
        <w:rPr>
          <w:rFonts w:ascii="Arial" w:hAnsi="Arial" w:cs="Arial"/>
          <w:b/>
          <w:bCs/>
          <w:lang w:eastAsia="pl-PL"/>
        </w:rPr>
        <w:t>-</w:t>
      </w:r>
      <w:r w:rsidR="008A5323">
        <w:rPr>
          <w:rFonts w:ascii="Arial" w:hAnsi="Arial" w:cs="Arial"/>
          <w:b/>
          <w:bCs/>
          <w:lang w:eastAsia="pl-PL"/>
        </w:rPr>
        <w:t xml:space="preserve"> </w:t>
      </w:r>
      <w:r w:rsidRPr="00524024">
        <w:rPr>
          <w:rFonts w:ascii="Arial" w:hAnsi="Arial" w:cs="Arial"/>
          <w:b/>
          <w:bCs/>
          <w:lang w:eastAsia="pl-PL"/>
        </w:rPr>
        <w:t>2034.</w:t>
      </w:r>
    </w:p>
    <w:p w:rsidR="00524024" w:rsidRPr="00524024" w:rsidRDefault="00524024" w:rsidP="00524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76" w:lineRule="auto"/>
        <w:jc w:val="both"/>
        <w:rPr>
          <w:rFonts w:ascii="Arial" w:hAnsi="Arial" w:cs="Arial"/>
          <w:lang w:eastAsia="pl-PL"/>
        </w:rPr>
      </w:pPr>
      <w:r w:rsidRPr="00524024">
        <w:rPr>
          <w:rFonts w:ascii="Arial" w:hAnsi="Arial" w:cs="Arial"/>
          <w:lang w:eastAsia="pl-PL"/>
        </w:rPr>
        <w:t xml:space="preserve">Projekt przedstawionej Wieloletniej Prognozy Finansowej opracowany został w oparciu </w:t>
      </w:r>
      <w:r w:rsidRPr="00524024">
        <w:rPr>
          <w:rFonts w:ascii="Arial" w:hAnsi="Arial" w:cs="Arial"/>
          <w:lang w:eastAsia="pl-PL"/>
        </w:rPr>
        <w:br/>
        <w:t xml:space="preserve">o prognozowane przez Ministerstwo Finansów parametry makroekonomiczne, informacje otrzymane z Ministerstwa Finansów, przewidywane wykorzystanie środków z Unii Europejskiej oraz analizę aktualnej sytuacji finansowej Miasta. </w:t>
      </w:r>
    </w:p>
    <w:p w:rsidR="00524024" w:rsidRPr="00524024" w:rsidRDefault="00524024" w:rsidP="00524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76" w:lineRule="auto"/>
        <w:jc w:val="both"/>
        <w:rPr>
          <w:rFonts w:ascii="Arial" w:hAnsi="Arial" w:cs="Arial"/>
          <w:lang w:eastAsia="pl-PL"/>
        </w:rPr>
      </w:pPr>
      <w:r w:rsidRPr="00524024">
        <w:rPr>
          <w:rFonts w:ascii="Arial" w:hAnsi="Arial" w:cs="Arial"/>
          <w:lang w:eastAsia="pl-PL"/>
        </w:rPr>
        <w:t xml:space="preserve">Podstawą opracowania Wieloletniej Prognozy Finansowej Miasta Łomża są założenia </w:t>
      </w:r>
      <w:r w:rsidRPr="00524024">
        <w:rPr>
          <w:rFonts w:ascii="Arial" w:hAnsi="Arial" w:cs="Arial"/>
          <w:lang w:eastAsia="pl-PL"/>
        </w:rPr>
        <w:br/>
        <w:t>i informacje zgromadzone do opracowania projektu uchwały budżetowej na 202</w:t>
      </w:r>
      <w:r w:rsidR="0091771D">
        <w:rPr>
          <w:rFonts w:ascii="Arial" w:hAnsi="Arial" w:cs="Arial"/>
          <w:lang w:eastAsia="pl-PL"/>
        </w:rPr>
        <w:t>1</w:t>
      </w:r>
      <w:r w:rsidRPr="00524024">
        <w:rPr>
          <w:rFonts w:ascii="Arial" w:hAnsi="Arial" w:cs="Arial"/>
          <w:lang w:eastAsia="pl-PL"/>
        </w:rPr>
        <w:t xml:space="preserve"> rok, dane sprawozdawcze z wykonania budżetu Mi</w:t>
      </w:r>
      <w:r w:rsidR="0091771D">
        <w:rPr>
          <w:rFonts w:ascii="Arial" w:hAnsi="Arial" w:cs="Arial"/>
          <w:lang w:eastAsia="pl-PL"/>
        </w:rPr>
        <w:t>asta Łomża za lata 2018 i 2019</w:t>
      </w:r>
      <w:r w:rsidRPr="00524024">
        <w:rPr>
          <w:rFonts w:ascii="Arial" w:hAnsi="Arial" w:cs="Arial"/>
          <w:lang w:eastAsia="pl-PL"/>
        </w:rPr>
        <w:t>, wartości plano</w:t>
      </w:r>
      <w:r w:rsidR="0091771D">
        <w:rPr>
          <w:rFonts w:ascii="Arial" w:hAnsi="Arial" w:cs="Arial"/>
          <w:lang w:eastAsia="pl-PL"/>
        </w:rPr>
        <w:t>wane na koniec III kwartału 2020</w:t>
      </w:r>
      <w:r w:rsidRPr="00524024">
        <w:rPr>
          <w:rFonts w:ascii="Arial" w:hAnsi="Arial" w:cs="Arial"/>
          <w:lang w:eastAsia="pl-PL"/>
        </w:rPr>
        <w:t xml:space="preserve"> roku, przewidywane </w:t>
      </w:r>
      <w:r w:rsidR="0091771D">
        <w:rPr>
          <w:rFonts w:ascii="Arial" w:hAnsi="Arial" w:cs="Arial"/>
          <w:lang w:eastAsia="pl-PL"/>
        </w:rPr>
        <w:t>wykonanie budżetu na koniec 2020</w:t>
      </w:r>
      <w:r w:rsidRPr="00524024">
        <w:rPr>
          <w:rFonts w:ascii="Arial" w:hAnsi="Arial" w:cs="Arial"/>
          <w:lang w:eastAsia="pl-PL"/>
        </w:rPr>
        <w:t xml:space="preserve"> roku oraz wytyczne Ministra Finansów dotyczące założeń makroekonomicznych dla potrzeb sporządzania wieloletnich prognoz finansowych jednostek samorządu terytorialnego.</w:t>
      </w:r>
    </w:p>
    <w:p w:rsidR="00524024" w:rsidRPr="00524024" w:rsidRDefault="00524024" w:rsidP="0052402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r w:rsidRPr="00524024">
        <w:rPr>
          <w:rFonts w:ascii="Arial" w:hAnsi="Arial" w:cs="Arial"/>
          <w:lang w:eastAsia="pl-PL"/>
        </w:rPr>
        <w:t xml:space="preserve">Art. 227 ust. 1 ustawy z dnia 27 sierpnia 2009 </w:t>
      </w:r>
      <w:r w:rsidR="00D53E82">
        <w:rPr>
          <w:rFonts w:ascii="Arial" w:hAnsi="Arial" w:cs="Arial"/>
          <w:lang w:eastAsia="pl-PL"/>
        </w:rPr>
        <w:t>r. o finansach publicznych (Dz.</w:t>
      </w:r>
      <w:r w:rsidR="008A5323">
        <w:rPr>
          <w:rFonts w:ascii="Arial" w:hAnsi="Arial" w:cs="Arial"/>
          <w:lang w:eastAsia="pl-PL"/>
        </w:rPr>
        <w:t xml:space="preserve"> </w:t>
      </w:r>
      <w:r w:rsidR="00D53E82">
        <w:rPr>
          <w:rFonts w:ascii="Arial" w:hAnsi="Arial" w:cs="Arial"/>
          <w:lang w:eastAsia="pl-PL"/>
        </w:rPr>
        <w:t>U z 2019</w:t>
      </w:r>
      <w:r w:rsidR="005C1E14">
        <w:rPr>
          <w:rFonts w:ascii="Arial" w:hAnsi="Arial" w:cs="Arial"/>
          <w:lang w:eastAsia="pl-PL"/>
        </w:rPr>
        <w:t xml:space="preserve"> </w:t>
      </w:r>
      <w:r w:rsidR="00D53E82">
        <w:rPr>
          <w:rFonts w:ascii="Arial" w:hAnsi="Arial" w:cs="Arial"/>
          <w:lang w:eastAsia="pl-PL"/>
        </w:rPr>
        <w:t>r. poz. 869 z pó</w:t>
      </w:r>
      <w:r w:rsidRPr="00524024">
        <w:rPr>
          <w:rFonts w:ascii="Arial" w:hAnsi="Arial" w:cs="Arial"/>
          <w:lang w:eastAsia="pl-PL"/>
        </w:rPr>
        <w:t>źn. zm.) zakłada, iż wieloletnia prognoza finansowa obejmuje okres roku budżetowego oraz co najmniej trzech kolejnych lat budżetowych. Z ust. 2 powołanego artykułu wynika, iż prognozę kwoty długu, stanowiącą integralną część wieloletniej prognozy finansowej, sporządza się na okres, na który zaciągnięto lub planuje się zaciągnąć zobowiązanie. Na dzień podjęcia uchwały, spłatę zobowiązań przewiduje się do roku 2034. W związku z powyższym, Wieloletnia Prognoza Finansowa Miasta Łomża została przygotowana na lata 202</w:t>
      </w:r>
      <w:r w:rsidR="009279B9">
        <w:rPr>
          <w:rFonts w:ascii="Arial" w:hAnsi="Arial" w:cs="Arial"/>
          <w:lang w:eastAsia="pl-PL"/>
        </w:rPr>
        <w:t xml:space="preserve">1 </w:t>
      </w:r>
      <w:r w:rsidRPr="00524024">
        <w:rPr>
          <w:rFonts w:ascii="Arial" w:hAnsi="Arial" w:cs="Arial"/>
          <w:lang w:eastAsia="pl-PL"/>
        </w:rPr>
        <w:t>-</w:t>
      </w:r>
      <w:r w:rsidR="009279B9">
        <w:rPr>
          <w:rFonts w:ascii="Arial" w:hAnsi="Arial" w:cs="Arial"/>
          <w:lang w:eastAsia="pl-PL"/>
        </w:rPr>
        <w:t xml:space="preserve"> </w:t>
      </w:r>
      <w:r w:rsidRPr="00524024">
        <w:rPr>
          <w:rFonts w:ascii="Arial" w:hAnsi="Arial" w:cs="Arial"/>
          <w:lang w:eastAsia="pl-PL"/>
        </w:rPr>
        <w:t>2034.</w:t>
      </w:r>
    </w:p>
    <w:p w:rsidR="00524024" w:rsidRPr="00524024" w:rsidRDefault="00524024" w:rsidP="0052402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color w:val="FF0000"/>
          <w:lang w:eastAsia="pl-PL"/>
        </w:rPr>
      </w:pP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r w:rsidRPr="00524024">
        <w:rPr>
          <w:rFonts w:ascii="Arial" w:hAnsi="Arial" w:cs="Arial"/>
          <w:b/>
          <w:bCs/>
          <w:lang w:eastAsia="pl-PL"/>
        </w:rPr>
        <w:t xml:space="preserve">1. Dochody bieżące </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524024">
        <w:rPr>
          <w:rFonts w:ascii="Arial" w:hAnsi="Arial" w:cs="Arial"/>
          <w:lang w:eastAsia="pl-PL"/>
        </w:rPr>
        <w:t>Szczegółowy opis dochodów planowanych do osiągnięcia w 202</w:t>
      </w:r>
      <w:r w:rsidR="005F7078">
        <w:rPr>
          <w:rFonts w:ascii="Arial" w:hAnsi="Arial" w:cs="Arial"/>
          <w:lang w:eastAsia="pl-PL"/>
        </w:rPr>
        <w:t>1</w:t>
      </w:r>
      <w:r w:rsidRPr="00524024">
        <w:rPr>
          <w:rFonts w:ascii="Arial" w:hAnsi="Arial" w:cs="Arial"/>
          <w:lang w:eastAsia="pl-PL"/>
        </w:rPr>
        <w:t xml:space="preserve"> r. został przedstawiony </w:t>
      </w:r>
      <w:r w:rsidRPr="00524024">
        <w:rPr>
          <w:rFonts w:ascii="Arial" w:hAnsi="Arial" w:cs="Arial"/>
          <w:lang w:eastAsia="pl-PL"/>
        </w:rPr>
        <w:br/>
        <w:t xml:space="preserve">w projekcie budżetu. </w:t>
      </w:r>
    </w:p>
    <w:p w:rsidR="00524024" w:rsidRPr="00524024" w:rsidRDefault="00524024" w:rsidP="00524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76" w:lineRule="auto"/>
        <w:jc w:val="both"/>
        <w:rPr>
          <w:rFonts w:ascii="Arial" w:hAnsi="Arial" w:cs="Arial"/>
          <w:lang w:eastAsia="pl-PL"/>
        </w:rPr>
      </w:pPr>
      <w:r w:rsidRPr="00524024">
        <w:rPr>
          <w:rFonts w:ascii="Arial" w:hAnsi="Arial" w:cs="Arial"/>
          <w:lang w:eastAsia="pl-PL"/>
        </w:rPr>
        <w:t>Dochody bieżące na kolejne lata prognozowano w podziale na:</w:t>
      </w:r>
    </w:p>
    <w:p w:rsidR="00524024" w:rsidRPr="00524024" w:rsidRDefault="00524024" w:rsidP="00524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76" w:lineRule="auto"/>
        <w:jc w:val="both"/>
        <w:rPr>
          <w:rFonts w:ascii="Arial" w:hAnsi="Arial" w:cs="Arial"/>
          <w:lang w:eastAsia="pl-PL"/>
        </w:rPr>
      </w:pPr>
      <w:r w:rsidRPr="00524024">
        <w:rPr>
          <w:rFonts w:ascii="Arial" w:hAnsi="Arial" w:cs="Arial"/>
          <w:lang w:eastAsia="pl-PL"/>
        </w:rPr>
        <w:tab/>
      </w:r>
      <w:r w:rsidR="00710C77">
        <w:rPr>
          <w:rFonts w:ascii="Arial" w:hAnsi="Arial" w:cs="Arial"/>
          <w:lang w:eastAsia="pl-PL"/>
        </w:rPr>
        <w:t>1</w:t>
      </w:r>
      <w:r w:rsidRPr="00524024">
        <w:rPr>
          <w:rFonts w:ascii="Arial" w:hAnsi="Arial" w:cs="Arial"/>
          <w:lang w:eastAsia="pl-PL"/>
        </w:rPr>
        <w:t>. Udział w podatkach stanowiących dochody Budżetu Państwa (w tym PIT i CIT);</w:t>
      </w:r>
    </w:p>
    <w:p w:rsidR="00524024" w:rsidRPr="00524024" w:rsidRDefault="00710C77" w:rsidP="00524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76" w:lineRule="auto"/>
        <w:jc w:val="both"/>
        <w:rPr>
          <w:rFonts w:ascii="Arial" w:hAnsi="Arial" w:cs="Arial"/>
          <w:lang w:eastAsia="pl-PL"/>
        </w:rPr>
      </w:pPr>
      <w:r>
        <w:rPr>
          <w:rFonts w:ascii="Arial" w:hAnsi="Arial" w:cs="Arial"/>
          <w:lang w:eastAsia="pl-PL"/>
        </w:rPr>
        <w:tab/>
        <w:t>2</w:t>
      </w:r>
      <w:r w:rsidR="00524024" w:rsidRPr="00524024">
        <w:rPr>
          <w:rFonts w:ascii="Arial" w:hAnsi="Arial" w:cs="Arial"/>
          <w:lang w:eastAsia="pl-PL"/>
        </w:rPr>
        <w:t>. Subwencję ogólną;</w:t>
      </w:r>
    </w:p>
    <w:p w:rsidR="00524024" w:rsidRPr="00524024" w:rsidRDefault="00710C77" w:rsidP="00524024">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line="276" w:lineRule="auto"/>
        <w:ind w:left="708"/>
        <w:jc w:val="both"/>
        <w:rPr>
          <w:rFonts w:ascii="Arial" w:hAnsi="Arial" w:cs="Arial"/>
          <w:lang w:eastAsia="pl-PL"/>
        </w:rPr>
      </w:pPr>
      <w:r>
        <w:rPr>
          <w:rFonts w:ascii="Arial" w:hAnsi="Arial" w:cs="Arial"/>
          <w:lang w:eastAsia="pl-PL"/>
        </w:rPr>
        <w:tab/>
        <w:t>3</w:t>
      </w:r>
      <w:r w:rsidR="005C1E14">
        <w:rPr>
          <w:rFonts w:ascii="Arial" w:hAnsi="Arial" w:cs="Arial"/>
          <w:lang w:eastAsia="pl-PL"/>
        </w:rPr>
        <w:t xml:space="preserve">.Dotacje </w:t>
      </w:r>
      <w:r w:rsidR="00524024" w:rsidRPr="00524024">
        <w:rPr>
          <w:rFonts w:ascii="Arial" w:hAnsi="Arial" w:cs="Arial"/>
          <w:lang w:eastAsia="pl-PL"/>
        </w:rPr>
        <w:t xml:space="preserve">i środki przeznaczone na cele bieżące oraz na programy i projekty                   </w:t>
      </w:r>
      <w:r>
        <w:rPr>
          <w:rFonts w:ascii="Arial" w:hAnsi="Arial" w:cs="Arial"/>
          <w:lang w:eastAsia="pl-PL"/>
        </w:rPr>
        <w:t xml:space="preserve">     </w:t>
      </w:r>
      <w:r w:rsidR="00524024" w:rsidRPr="00524024">
        <w:rPr>
          <w:rFonts w:ascii="Arial" w:hAnsi="Arial" w:cs="Arial"/>
          <w:lang w:eastAsia="pl-PL"/>
        </w:rPr>
        <w:t>realizowane w udziałem środków zewnętrznych;</w:t>
      </w:r>
    </w:p>
    <w:p w:rsidR="00524024" w:rsidRPr="00524024" w:rsidRDefault="00710C77"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Pr>
          <w:rFonts w:ascii="Arial" w:hAnsi="Arial" w:cs="Arial"/>
          <w:lang w:eastAsia="pl-PL"/>
        </w:rPr>
        <w:tab/>
        <w:t>4</w:t>
      </w:r>
      <w:r w:rsidR="00524024" w:rsidRPr="00524024">
        <w:rPr>
          <w:rFonts w:ascii="Arial" w:hAnsi="Arial" w:cs="Arial"/>
          <w:lang w:eastAsia="pl-PL"/>
        </w:rPr>
        <w:t>. Pozostałe dochody</w:t>
      </w:r>
      <w:r>
        <w:rPr>
          <w:rFonts w:ascii="Arial" w:hAnsi="Arial" w:cs="Arial"/>
          <w:lang w:eastAsia="pl-PL"/>
        </w:rPr>
        <w:t xml:space="preserve"> (w tym: podatek od nieruchomo</w:t>
      </w:r>
      <w:r w:rsidRPr="00524024">
        <w:rPr>
          <w:rFonts w:ascii="Arial" w:hAnsi="Arial" w:cs="Arial"/>
          <w:lang w:eastAsia="pl-PL"/>
        </w:rPr>
        <w:t>ści</w:t>
      </w:r>
      <w:r>
        <w:rPr>
          <w:rFonts w:ascii="Arial" w:hAnsi="Arial" w:cs="Arial"/>
          <w:lang w:eastAsia="pl-PL"/>
        </w:rPr>
        <w:t>)</w:t>
      </w:r>
      <w:r w:rsidR="00524024" w:rsidRPr="00524024">
        <w:rPr>
          <w:rFonts w:ascii="Arial" w:hAnsi="Arial" w:cs="Arial"/>
          <w:lang w:eastAsia="pl-PL"/>
        </w:rPr>
        <w:t xml:space="preserve"> </w:t>
      </w:r>
    </w:p>
    <w:p w:rsidR="00524024" w:rsidRPr="00524024" w:rsidRDefault="00512A13"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Pr>
          <w:rFonts w:ascii="Arial" w:hAnsi="Arial" w:cs="Arial"/>
          <w:lang w:eastAsia="pl-PL"/>
        </w:rPr>
        <w:t>W latach 2022</w:t>
      </w:r>
      <w:r w:rsidR="008A4335">
        <w:rPr>
          <w:rFonts w:ascii="Arial" w:hAnsi="Arial" w:cs="Arial"/>
          <w:lang w:eastAsia="pl-PL"/>
        </w:rPr>
        <w:t xml:space="preserve"> </w:t>
      </w:r>
      <w:r>
        <w:rPr>
          <w:rFonts w:ascii="Arial" w:hAnsi="Arial" w:cs="Arial"/>
          <w:lang w:eastAsia="pl-PL"/>
        </w:rPr>
        <w:t>-</w:t>
      </w:r>
      <w:r w:rsidR="008A4335">
        <w:rPr>
          <w:rFonts w:ascii="Arial" w:hAnsi="Arial" w:cs="Arial"/>
          <w:lang w:eastAsia="pl-PL"/>
        </w:rPr>
        <w:t xml:space="preserve"> </w:t>
      </w:r>
      <w:r w:rsidR="00B117F5">
        <w:rPr>
          <w:rFonts w:ascii="Arial" w:hAnsi="Arial" w:cs="Arial"/>
          <w:lang w:eastAsia="pl-PL"/>
        </w:rPr>
        <w:t>2025</w:t>
      </w:r>
      <w:r w:rsidR="00524024" w:rsidRPr="00524024">
        <w:rPr>
          <w:rFonts w:ascii="Arial" w:hAnsi="Arial" w:cs="Arial"/>
          <w:lang w:eastAsia="pl-PL"/>
        </w:rPr>
        <w:t xml:space="preserve"> zaplanowano </w:t>
      </w:r>
      <w:r w:rsidR="00524024" w:rsidRPr="00B6580E">
        <w:rPr>
          <w:rFonts w:ascii="Arial" w:hAnsi="Arial" w:cs="Arial"/>
          <w:lang w:eastAsia="pl-PL"/>
        </w:rPr>
        <w:t xml:space="preserve">wzrost </w:t>
      </w:r>
      <w:r w:rsidR="005C1E14" w:rsidRPr="00B6580E">
        <w:rPr>
          <w:rFonts w:ascii="Arial" w:hAnsi="Arial" w:cs="Arial"/>
          <w:lang w:eastAsia="pl-PL"/>
        </w:rPr>
        <w:t>dochodów bieżących o</w:t>
      </w:r>
      <w:r w:rsidR="00AB0E45" w:rsidRPr="00B6580E">
        <w:rPr>
          <w:rFonts w:ascii="Arial" w:hAnsi="Arial" w:cs="Arial"/>
          <w:lang w:eastAsia="pl-PL"/>
        </w:rPr>
        <w:t xml:space="preserve"> 0,5% -</w:t>
      </w:r>
      <w:r w:rsidR="005C1E14" w:rsidRPr="00B6580E">
        <w:rPr>
          <w:rFonts w:ascii="Arial" w:hAnsi="Arial" w:cs="Arial"/>
          <w:lang w:eastAsia="pl-PL"/>
        </w:rPr>
        <w:t xml:space="preserve"> 1</w:t>
      </w:r>
      <w:r w:rsidR="00FA73EE" w:rsidRPr="00B6580E">
        <w:rPr>
          <w:rFonts w:ascii="Arial" w:hAnsi="Arial" w:cs="Arial"/>
          <w:lang w:eastAsia="pl-PL"/>
        </w:rPr>
        <w:t>,5</w:t>
      </w:r>
      <w:r w:rsidR="005C1E14" w:rsidRPr="00B6580E">
        <w:rPr>
          <w:rFonts w:ascii="Arial" w:hAnsi="Arial" w:cs="Arial"/>
          <w:lang w:eastAsia="pl-PL"/>
        </w:rPr>
        <w:t>%</w:t>
      </w:r>
      <w:r w:rsidR="00524024" w:rsidRPr="00B6580E">
        <w:rPr>
          <w:rFonts w:ascii="Arial" w:hAnsi="Arial" w:cs="Arial"/>
          <w:lang w:eastAsia="pl-PL"/>
        </w:rPr>
        <w:t>.</w:t>
      </w:r>
      <w:r w:rsidR="00524024" w:rsidRPr="00524024">
        <w:rPr>
          <w:rFonts w:ascii="Arial" w:hAnsi="Arial" w:cs="Arial"/>
          <w:lang w:eastAsia="pl-PL"/>
        </w:rPr>
        <w:t xml:space="preserve"> W latach 202</w:t>
      </w:r>
      <w:r w:rsidR="00B117F5">
        <w:rPr>
          <w:rFonts w:ascii="Arial" w:hAnsi="Arial" w:cs="Arial"/>
          <w:lang w:eastAsia="pl-PL"/>
        </w:rPr>
        <w:t>6</w:t>
      </w:r>
      <w:r w:rsidR="008A4335">
        <w:rPr>
          <w:rFonts w:ascii="Arial" w:hAnsi="Arial" w:cs="Arial"/>
          <w:lang w:eastAsia="pl-PL"/>
        </w:rPr>
        <w:t xml:space="preserve"> </w:t>
      </w:r>
      <w:r w:rsidR="00524024" w:rsidRPr="00524024">
        <w:rPr>
          <w:rFonts w:ascii="Arial" w:hAnsi="Arial" w:cs="Arial"/>
          <w:lang w:eastAsia="pl-PL"/>
        </w:rPr>
        <w:t>-</w:t>
      </w:r>
      <w:r w:rsidR="008A4335">
        <w:rPr>
          <w:rFonts w:ascii="Arial" w:hAnsi="Arial" w:cs="Arial"/>
          <w:lang w:eastAsia="pl-PL"/>
        </w:rPr>
        <w:t xml:space="preserve"> </w:t>
      </w:r>
      <w:r w:rsidR="00524024" w:rsidRPr="00524024">
        <w:rPr>
          <w:rFonts w:ascii="Arial" w:hAnsi="Arial" w:cs="Arial"/>
          <w:lang w:eastAsia="pl-PL"/>
        </w:rPr>
        <w:t>2034 założono utrzymanie dochodów bieżącyc</w:t>
      </w:r>
      <w:r w:rsidR="00624956">
        <w:rPr>
          <w:rFonts w:ascii="Arial" w:hAnsi="Arial" w:cs="Arial"/>
          <w:lang w:eastAsia="pl-PL"/>
        </w:rPr>
        <w:t xml:space="preserve">h na stałym </w:t>
      </w:r>
      <w:r w:rsidR="00B117F5">
        <w:rPr>
          <w:rFonts w:ascii="Arial" w:hAnsi="Arial" w:cs="Arial"/>
          <w:lang w:eastAsia="pl-PL"/>
        </w:rPr>
        <w:t>poziomie z roku 2026</w:t>
      </w:r>
      <w:r w:rsidR="00524024" w:rsidRPr="00B6580E">
        <w:rPr>
          <w:rFonts w:ascii="Arial" w:hAnsi="Arial" w:cs="Arial"/>
          <w:lang w:eastAsia="pl-PL"/>
        </w:rPr>
        <w:t xml:space="preserve"> r.,</w:t>
      </w:r>
      <w:r w:rsidR="00524024" w:rsidRPr="00524024">
        <w:rPr>
          <w:rFonts w:ascii="Arial" w:hAnsi="Arial" w:cs="Arial"/>
          <w:lang w:eastAsia="pl-PL"/>
        </w:rPr>
        <w:t xml:space="preserve"> ponieważ trudno jest przewidzieć na jakim poziomie będą kształtowały się dochody w tak odległym czasie.</w:t>
      </w:r>
    </w:p>
    <w:p w:rsidR="00524024" w:rsidRPr="00524024" w:rsidRDefault="0086111A"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Pr>
          <w:rFonts w:ascii="Arial" w:hAnsi="Arial" w:cs="Arial"/>
          <w:lang w:eastAsia="pl-PL"/>
        </w:rPr>
        <w:lastRenderedPageBreak/>
        <w:t>Dodatkowo w pozycji 9.1</w:t>
      </w:r>
      <w:r w:rsidR="00524024" w:rsidRPr="00776E89">
        <w:rPr>
          <w:rFonts w:ascii="Arial" w:hAnsi="Arial" w:cs="Arial"/>
          <w:lang w:eastAsia="pl-PL"/>
        </w:rPr>
        <w:t xml:space="preserve"> w załączniku nr 1 Wieloletnia Pr</w:t>
      </w:r>
      <w:r w:rsidR="007A4DA7" w:rsidRPr="00776E89">
        <w:rPr>
          <w:rFonts w:ascii="Arial" w:hAnsi="Arial" w:cs="Arial"/>
          <w:lang w:eastAsia="pl-PL"/>
        </w:rPr>
        <w:t>o</w:t>
      </w:r>
      <w:r w:rsidR="007872E2" w:rsidRPr="00776E89">
        <w:rPr>
          <w:rFonts w:ascii="Arial" w:hAnsi="Arial" w:cs="Arial"/>
          <w:lang w:eastAsia="pl-PL"/>
        </w:rPr>
        <w:t>gnoza Finansowa za 2018 r.</w:t>
      </w:r>
      <w:r w:rsidR="00524024" w:rsidRPr="00776E89">
        <w:rPr>
          <w:rFonts w:ascii="Arial" w:hAnsi="Arial" w:cs="Arial"/>
          <w:lang w:eastAsia="pl-PL"/>
        </w:rPr>
        <w:t xml:space="preserve"> Miasto Łomża na podstawie sprawozdania Rb 27S ujęło również dochody z tytułu refundacji poniesionych w latach ubiegłych wydatków na realizację projektów z udziałem środków, o których mowa w art. 5 ust. 1 pkt 2 i 3 ustawy zaklasyfikowane do</w:t>
      </w:r>
      <w:r w:rsidR="002C0BA3" w:rsidRPr="00776E89">
        <w:rPr>
          <w:rFonts w:ascii="Arial" w:hAnsi="Arial" w:cs="Arial"/>
          <w:lang w:eastAsia="pl-PL"/>
        </w:rPr>
        <w:t xml:space="preserve"> </w:t>
      </w:r>
      <w:r w:rsidR="00524024" w:rsidRPr="00776E89">
        <w:rPr>
          <w:rFonts w:ascii="Arial" w:hAnsi="Arial" w:cs="Arial"/>
          <w:lang w:eastAsia="pl-PL"/>
        </w:rPr>
        <w:t xml:space="preserve">§ 0947. </w:t>
      </w:r>
      <w:r w:rsidR="00844A60" w:rsidRPr="00776E89">
        <w:rPr>
          <w:rFonts w:ascii="Arial" w:hAnsi="Arial" w:cs="Arial"/>
          <w:lang w:eastAsia="pl-PL"/>
        </w:rPr>
        <w:t xml:space="preserve">Jak również w pozycji. 9.4 </w:t>
      </w:r>
      <w:r w:rsidR="0026340B">
        <w:rPr>
          <w:rFonts w:ascii="Arial" w:hAnsi="Arial" w:cs="Arial"/>
          <w:lang w:eastAsia="pl-PL"/>
        </w:rPr>
        <w:t xml:space="preserve">za 2019 r. </w:t>
      </w:r>
      <w:r w:rsidR="00844A60" w:rsidRPr="00776E89">
        <w:rPr>
          <w:rFonts w:ascii="Arial" w:hAnsi="Arial" w:cs="Arial"/>
          <w:lang w:eastAsia="pl-PL"/>
        </w:rPr>
        <w:t xml:space="preserve">na podstawie sprawozdania RB 28S </w:t>
      </w:r>
      <w:r w:rsidR="00F046D0" w:rsidRPr="00776E89">
        <w:rPr>
          <w:rFonts w:ascii="Arial" w:hAnsi="Arial" w:cs="Arial"/>
          <w:lang w:eastAsia="pl-PL"/>
        </w:rPr>
        <w:t>ujęło</w:t>
      </w:r>
      <w:r w:rsidR="00844A60" w:rsidRPr="00776E89">
        <w:rPr>
          <w:rFonts w:ascii="Arial" w:hAnsi="Arial" w:cs="Arial"/>
          <w:lang w:eastAsia="pl-PL"/>
        </w:rPr>
        <w:t xml:space="preserve"> wydatki </w:t>
      </w:r>
      <w:r w:rsidR="006F7DB3" w:rsidRPr="00776E89">
        <w:rPr>
          <w:rFonts w:ascii="Arial" w:hAnsi="Arial" w:cs="Arial"/>
          <w:lang w:eastAsia="pl-PL"/>
        </w:rPr>
        <w:t>z tytułu refundacji</w:t>
      </w:r>
      <w:r w:rsidR="00844A60" w:rsidRPr="00776E89">
        <w:rPr>
          <w:rFonts w:ascii="Arial" w:hAnsi="Arial" w:cs="Arial"/>
          <w:lang w:eastAsia="pl-PL"/>
        </w:rPr>
        <w:t xml:space="preserve"> </w:t>
      </w:r>
      <w:r w:rsidR="006F7DB3" w:rsidRPr="00776E89">
        <w:rPr>
          <w:rFonts w:ascii="Arial" w:hAnsi="Arial" w:cs="Arial"/>
          <w:lang w:eastAsia="pl-PL"/>
        </w:rPr>
        <w:t xml:space="preserve">poniesionych w latach ubiegłych </w:t>
      </w:r>
      <w:r w:rsidR="00844A60" w:rsidRPr="00776E89">
        <w:rPr>
          <w:rFonts w:ascii="Arial" w:hAnsi="Arial" w:cs="Arial"/>
          <w:lang w:eastAsia="pl-PL"/>
        </w:rPr>
        <w:t>dotacji</w:t>
      </w:r>
      <w:r w:rsidR="001B5EAF" w:rsidRPr="00776E89">
        <w:rPr>
          <w:rFonts w:ascii="Arial" w:hAnsi="Arial" w:cs="Arial"/>
          <w:lang w:eastAsia="pl-PL"/>
        </w:rPr>
        <w:t xml:space="preserve"> otrzymanych</w:t>
      </w:r>
      <w:r w:rsidR="00844A60" w:rsidRPr="00776E89">
        <w:rPr>
          <w:rFonts w:ascii="Arial" w:hAnsi="Arial" w:cs="Arial"/>
          <w:lang w:eastAsia="pl-PL"/>
        </w:rPr>
        <w:t xml:space="preserve"> na realizację projektów z udziałem środków, o których mowa w art. 5 ust. 1 pkt 2 i 3 ustawy zaklasyfikowane do § 6697, § 6699.</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r w:rsidRPr="00524024">
        <w:rPr>
          <w:rFonts w:ascii="Arial" w:hAnsi="Arial" w:cs="Arial"/>
          <w:b/>
          <w:bCs/>
          <w:lang w:eastAsia="pl-PL"/>
        </w:rPr>
        <w:t>2. Dochody majątkowe</w:t>
      </w:r>
      <w:r w:rsidR="006F3EF6">
        <w:rPr>
          <w:rFonts w:ascii="Arial" w:hAnsi="Arial" w:cs="Arial"/>
          <w:b/>
          <w:bCs/>
          <w:lang w:eastAsia="pl-PL"/>
        </w:rPr>
        <w:t xml:space="preserve"> </w:t>
      </w:r>
      <w:r w:rsidR="00844A60">
        <w:rPr>
          <w:rFonts w:ascii="Arial" w:hAnsi="Arial" w:cs="Arial"/>
          <w:b/>
          <w:bCs/>
          <w:lang w:eastAsia="pl-PL"/>
        </w:rPr>
        <w:t xml:space="preserve">z tytułu refundacji </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524024">
        <w:rPr>
          <w:rFonts w:ascii="Arial" w:hAnsi="Arial" w:cs="Arial"/>
          <w:lang w:eastAsia="pl-PL"/>
        </w:rPr>
        <w:t xml:space="preserve"> 2.1 Dochody majątkowe ustalono w oparciu o zawarte umowy i wydane decyzje oraz zamierzenia aktualizacji ich dotychczasowych wartości, a w zakresie sprzedaży </w:t>
      </w:r>
      <w:r w:rsidRPr="00524024">
        <w:rPr>
          <w:rFonts w:ascii="Arial" w:hAnsi="Arial" w:cs="Arial"/>
          <w:lang w:eastAsia="pl-PL"/>
        </w:rPr>
        <w:br/>
        <w:t xml:space="preserve">o szacunek uwzględniający aktualne ceny rynkowe. </w:t>
      </w:r>
      <w:r w:rsidRPr="0046552D">
        <w:rPr>
          <w:rFonts w:ascii="Arial" w:hAnsi="Arial" w:cs="Arial"/>
          <w:lang w:eastAsia="pl-PL"/>
        </w:rPr>
        <w:t>W 202</w:t>
      </w:r>
      <w:r w:rsidR="00FA3256" w:rsidRPr="0046552D">
        <w:rPr>
          <w:rFonts w:ascii="Arial" w:hAnsi="Arial" w:cs="Arial"/>
          <w:lang w:eastAsia="pl-PL"/>
        </w:rPr>
        <w:t>1</w:t>
      </w:r>
      <w:r w:rsidRPr="0046552D">
        <w:rPr>
          <w:rFonts w:ascii="Arial" w:hAnsi="Arial" w:cs="Arial"/>
          <w:lang w:eastAsia="pl-PL"/>
        </w:rPr>
        <w:t xml:space="preserve"> roku planuje się sprzedaż lokali komunalnych, sprzedaż działek na polepsz</w:t>
      </w:r>
      <w:r w:rsidR="00926279" w:rsidRPr="0046552D">
        <w:rPr>
          <w:rFonts w:ascii="Arial" w:hAnsi="Arial" w:cs="Arial"/>
          <w:lang w:eastAsia="pl-PL"/>
        </w:rPr>
        <w:t xml:space="preserve">enie warunków zagospodarowania, </w:t>
      </w:r>
      <w:r w:rsidRPr="0046552D">
        <w:rPr>
          <w:rFonts w:ascii="Arial" w:hAnsi="Arial" w:cs="Arial"/>
          <w:lang w:eastAsia="pl-PL"/>
        </w:rPr>
        <w:t>sprzedaż nieruchomości pod S</w:t>
      </w:r>
      <w:r w:rsidR="00B65A72">
        <w:rPr>
          <w:rFonts w:ascii="Arial" w:hAnsi="Arial" w:cs="Arial"/>
          <w:lang w:eastAsia="pl-PL"/>
        </w:rPr>
        <w:t>S</w:t>
      </w:r>
      <w:r w:rsidRPr="0046552D">
        <w:rPr>
          <w:rFonts w:ascii="Arial" w:hAnsi="Arial" w:cs="Arial"/>
          <w:lang w:eastAsia="pl-PL"/>
        </w:rPr>
        <w:t>SE</w:t>
      </w:r>
      <w:r w:rsidR="00926279" w:rsidRPr="0046552D">
        <w:rPr>
          <w:rFonts w:ascii="Arial" w:hAnsi="Arial" w:cs="Arial"/>
          <w:lang w:eastAsia="pl-PL"/>
        </w:rPr>
        <w:t xml:space="preserve"> przy ul. Spokojnej</w:t>
      </w:r>
      <w:r w:rsidRPr="0046552D">
        <w:rPr>
          <w:rFonts w:ascii="Arial" w:hAnsi="Arial" w:cs="Arial"/>
          <w:lang w:eastAsia="pl-PL"/>
        </w:rPr>
        <w:t xml:space="preserve">, </w:t>
      </w:r>
      <w:r w:rsidR="00926279" w:rsidRPr="0046552D">
        <w:rPr>
          <w:rFonts w:ascii="Arial" w:hAnsi="Arial" w:cs="Arial"/>
          <w:lang w:eastAsia="pl-PL"/>
        </w:rPr>
        <w:t>sprzedaż nieruchomości położonych w rejonie ulic Żabiej, Kolejowej i Geodetów</w:t>
      </w:r>
      <w:r w:rsidR="00B65A72">
        <w:rPr>
          <w:rFonts w:ascii="Arial" w:hAnsi="Arial" w:cs="Arial"/>
          <w:lang w:eastAsia="pl-PL"/>
        </w:rPr>
        <w:t xml:space="preserve"> oraz</w:t>
      </w:r>
      <w:r w:rsidRPr="0046552D">
        <w:rPr>
          <w:rFonts w:ascii="Arial" w:hAnsi="Arial" w:cs="Arial"/>
          <w:lang w:eastAsia="pl-PL"/>
        </w:rPr>
        <w:t xml:space="preserve"> nieruchomości położonej w Starych Modzelach</w:t>
      </w:r>
      <w:r w:rsidR="00926279" w:rsidRPr="0046552D">
        <w:rPr>
          <w:rFonts w:ascii="Arial" w:hAnsi="Arial" w:cs="Arial"/>
          <w:lang w:eastAsia="pl-PL"/>
        </w:rPr>
        <w:t xml:space="preserve"> „Żwirownia”</w:t>
      </w:r>
      <w:r w:rsidRPr="0046552D">
        <w:rPr>
          <w:rFonts w:ascii="Arial" w:hAnsi="Arial" w:cs="Arial"/>
          <w:lang w:eastAsia="pl-PL"/>
        </w:rPr>
        <w:t>.</w:t>
      </w:r>
      <w:r w:rsidRPr="00524024">
        <w:rPr>
          <w:rFonts w:ascii="Arial" w:hAnsi="Arial" w:cs="Arial"/>
          <w:lang w:eastAsia="pl-PL"/>
        </w:rPr>
        <w:t xml:space="preserve"> W kolejnych latach dochody zaplanowano na poziomie </w:t>
      </w:r>
      <w:r w:rsidR="006B7C05">
        <w:rPr>
          <w:rFonts w:ascii="Arial" w:hAnsi="Arial" w:cs="Arial"/>
          <w:lang w:eastAsia="pl-PL"/>
        </w:rPr>
        <w:t>możliwym do uzyskania zgodnie z wykazem</w:t>
      </w:r>
      <w:r w:rsidRPr="007A60E9">
        <w:rPr>
          <w:rFonts w:ascii="Arial" w:hAnsi="Arial" w:cs="Arial"/>
          <w:lang w:eastAsia="pl-PL"/>
        </w:rPr>
        <w:t xml:space="preserve"> mienia planowanego do sprzedaży</w:t>
      </w:r>
      <w:r w:rsidRPr="007A60E9">
        <w:rPr>
          <w:rFonts w:ascii="Arial" w:hAnsi="Arial" w:cs="Arial"/>
          <w:color w:val="000000"/>
          <w:lang w:eastAsia="pl-PL"/>
        </w:rPr>
        <w:t>.</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524024">
        <w:rPr>
          <w:rFonts w:ascii="Arial" w:hAnsi="Arial" w:cs="Arial"/>
          <w:lang w:eastAsia="pl-PL"/>
        </w:rPr>
        <w:t xml:space="preserve">2.2  Dochody z tytułu dotacji oraz środków przeznaczonych na inwestycje oszacowano </w:t>
      </w:r>
      <w:r w:rsidRPr="00524024">
        <w:rPr>
          <w:rFonts w:ascii="Arial" w:hAnsi="Arial" w:cs="Arial"/>
          <w:lang w:eastAsia="pl-PL"/>
        </w:rPr>
        <w:br/>
        <w:t xml:space="preserve">z uwzględnieniem planowanych terminów składania wniosków o płatność oraz wynikającego z umowy czasu ich weryfikacji i poświadczenia przez odpowiednią instytucję. Podjęte będą działania zwiększające dochody przy pojawiających się możliwościach sfinansowania inwestycji ze środków zewnętrznych.  </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r w:rsidRPr="00524024">
        <w:rPr>
          <w:rFonts w:ascii="Arial" w:hAnsi="Arial" w:cs="Arial"/>
          <w:b/>
          <w:bCs/>
          <w:lang w:eastAsia="pl-PL"/>
        </w:rPr>
        <w:t xml:space="preserve"> 3. Wydatki bieżące </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Times New Roman" w:hAnsi="Times New Roman"/>
          <w:i/>
          <w:iCs/>
          <w:color w:val="404040"/>
          <w:lang w:eastAsia="pl-PL"/>
        </w:rPr>
      </w:pPr>
      <w:r w:rsidRPr="00524024">
        <w:rPr>
          <w:rFonts w:ascii="Arial" w:hAnsi="Arial" w:cs="Arial"/>
          <w:lang w:eastAsia="pl-PL"/>
        </w:rPr>
        <w:t xml:space="preserve">3.1 Począwszy od 2011 roku obowiązuje reguła (art. 242 ustawy z 27 sierpnia 2009 r. </w:t>
      </w:r>
      <w:r w:rsidRPr="00524024">
        <w:rPr>
          <w:rFonts w:ascii="Arial" w:hAnsi="Arial" w:cs="Arial"/>
          <w:lang w:eastAsia="pl-PL"/>
        </w:rPr>
        <w:br/>
        <w:t>o finansach publicznych), która stanowi, że wydatki bieżące nie mogą przekraczać dochodów bieżących (z uwzględnieniem zastrzeżeń zawartych w art. 242 ust 2 i 3 ustawy). Ponadto</w:t>
      </w:r>
      <w:r w:rsidR="00FA3256">
        <w:rPr>
          <w:rFonts w:ascii="Arial" w:hAnsi="Arial" w:cs="Arial"/>
          <w:lang w:eastAsia="pl-PL"/>
        </w:rPr>
        <w:t>,</w:t>
      </w:r>
      <w:r w:rsidRPr="00524024">
        <w:rPr>
          <w:rFonts w:ascii="Arial" w:hAnsi="Arial" w:cs="Arial"/>
          <w:lang w:eastAsia="pl-PL"/>
        </w:rPr>
        <w:t xml:space="preserve"> od 2014 roku wszedł w życie przepis, który uzależnia możliwość zadłużania się od poziomu wypracowanego salda operacyjnego (dochody bieżące – wydatki bieżące) powiększonego o dochody ze sprzedaży majątku. </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524024">
        <w:rPr>
          <w:rFonts w:ascii="Arial" w:hAnsi="Arial" w:cs="Arial"/>
          <w:lang w:eastAsia="pl-PL"/>
        </w:rPr>
        <w:t>3.2 Wydatki bieżące na 202</w:t>
      </w:r>
      <w:r w:rsidR="00FA3256">
        <w:rPr>
          <w:rFonts w:ascii="Arial" w:hAnsi="Arial" w:cs="Arial"/>
          <w:lang w:eastAsia="pl-PL"/>
        </w:rPr>
        <w:t>1</w:t>
      </w:r>
      <w:r w:rsidRPr="00524024">
        <w:rPr>
          <w:rFonts w:ascii="Arial" w:hAnsi="Arial" w:cs="Arial"/>
          <w:lang w:eastAsia="pl-PL"/>
        </w:rPr>
        <w:t xml:space="preserve"> r. zostały zaplanowane na podstawie zgromadzonych informacji do projektu budżetu na 202</w:t>
      </w:r>
      <w:r w:rsidR="00FA3256">
        <w:rPr>
          <w:rFonts w:ascii="Arial" w:hAnsi="Arial" w:cs="Arial"/>
          <w:lang w:eastAsia="pl-PL"/>
        </w:rPr>
        <w:t>1</w:t>
      </w:r>
      <w:r w:rsidRPr="00524024">
        <w:rPr>
          <w:rFonts w:ascii="Arial" w:hAnsi="Arial" w:cs="Arial"/>
          <w:lang w:eastAsia="pl-PL"/>
        </w:rPr>
        <w:t xml:space="preserve"> rok. Szczegółowy opis został zawarty w projekcie budżetu na 202</w:t>
      </w:r>
      <w:r w:rsidR="00FA3256">
        <w:rPr>
          <w:rFonts w:ascii="Arial" w:hAnsi="Arial" w:cs="Arial"/>
          <w:lang w:eastAsia="pl-PL"/>
        </w:rPr>
        <w:t>1</w:t>
      </w:r>
      <w:r w:rsidRPr="00524024">
        <w:rPr>
          <w:rFonts w:ascii="Arial" w:hAnsi="Arial" w:cs="Arial"/>
          <w:lang w:eastAsia="pl-PL"/>
        </w:rPr>
        <w:t xml:space="preserve"> r. Natomiast</w:t>
      </w:r>
      <w:r w:rsidR="00FA3256">
        <w:rPr>
          <w:rFonts w:ascii="Arial" w:hAnsi="Arial" w:cs="Arial"/>
          <w:lang w:eastAsia="pl-PL"/>
        </w:rPr>
        <w:t>,</w:t>
      </w:r>
      <w:r w:rsidRPr="00524024">
        <w:rPr>
          <w:rFonts w:ascii="Arial" w:hAnsi="Arial" w:cs="Arial"/>
          <w:lang w:eastAsia="pl-PL"/>
        </w:rPr>
        <w:t xml:space="preserve"> w latach 202</w:t>
      </w:r>
      <w:r w:rsidR="00FA3256">
        <w:rPr>
          <w:rFonts w:ascii="Arial" w:hAnsi="Arial" w:cs="Arial"/>
          <w:lang w:eastAsia="pl-PL"/>
        </w:rPr>
        <w:t>2</w:t>
      </w:r>
      <w:r w:rsidR="004035E9">
        <w:rPr>
          <w:rFonts w:ascii="Arial" w:hAnsi="Arial" w:cs="Arial"/>
          <w:lang w:eastAsia="pl-PL"/>
        </w:rPr>
        <w:t xml:space="preserve"> </w:t>
      </w:r>
      <w:r w:rsidRPr="00524024">
        <w:rPr>
          <w:rFonts w:ascii="Arial" w:hAnsi="Arial" w:cs="Arial"/>
          <w:lang w:eastAsia="pl-PL"/>
        </w:rPr>
        <w:t>-</w:t>
      </w:r>
      <w:r w:rsidR="004035E9">
        <w:rPr>
          <w:rFonts w:ascii="Arial" w:hAnsi="Arial" w:cs="Arial"/>
          <w:lang w:eastAsia="pl-PL"/>
        </w:rPr>
        <w:t xml:space="preserve"> </w:t>
      </w:r>
      <w:r w:rsidRPr="00524024">
        <w:rPr>
          <w:rFonts w:ascii="Arial" w:hAnsi="Arial" w:cs="Arial"/>
          <w:lang w:eastAsia="pl-PL"/>
        </w:rPr>
        <w:t>202</w:t>
      </w:r>
      <w:r w:rsidR="00B117F5">
        <w:rPr>
          <w:rFonts w:ascii="Arial" w:hAnsi="Arial" w:cs="Arial"/>
          <w:lang w:eastAsia="pl-PL"/>
        </w:rPr>
        <w:t>5</w:t>
      </w:r>
      <w:r w:rsidRPr="00524024">
        <w:rPr>
          <w:rFonts w:ascii="Arial" w:hAnsi="Arial" w:cs="Arial"/>
          <w:lang w:eastAsia="pl-PL"/>
        </w:rPr>
        <w:t xml:space="preserve"> </w:t>
      </w:r>
      <w:r w:rsidRPr="00B6580E">
        <w:rPr>
          <w:rFonts w:ascii="Arial" w:hAnsi="Arial" w:cs="Arial"/>
          <w:lang w:eastAsia="pl-PL"/>
        </w:rPr>
        <w:t>założono wzro</w:t>
      </w:r>
      <w:r w:rsidR="00FA73EE" w:rsidRPr="00B6580E">
        <w:rPr>
          <w:rFonts w:ascii="Arial" w:hAnsi="Arial" w:cs="Arial"/>
          <w:lang w:eastAsia="pl-PL"/>
        </w:rPr>
        <w:t xml:space="preserve">st wydatków bieżących </w:t>
      </w:r>
      <w:r w:rsidR="00FA73EE" w:rsidRPr="00B6580E">
        <w:rPr>
          <w:rFonts w:ascii="Arial" w:hAnsi="Arial" w:cs="Arial"/>
          <w:lang w:eastAsia="pl-PL"/>
        </w:rPr>
        <w:br/>
        <w:t xml:space="preserve">od </w:t>
      </w:r>
      <w:r w:rsidR="0014172E">
        <w:rPr>
          <w:rFonts w:ascii="Arial" w:hAnsi="Arial" w:cs="Arial"/>
          <w:lang w:eastAsia="pl-PL"/>
        </w:rPr>
        <w:t>0,5</w:t>
      </w:r>
      <w:r w:rsidR="00FA73EE" w:rsidRPr="00B6580E">
        <w:rPr>
          <w:rFonts w:ascii="Arial" w:hAnsi="Arial" w:cs="Arial"/>
          <w:lang w:eastAsia="pl-PL"/>
        </w:rPr>
        <w:t xml:space="preserve">% </w:t>
      </w:r>
      <w:r w:rsidR="004C5DC3">
        <w:rPr>
          <w:rFonts w:ascii="Arial" w:hAnsi="Arial" w:cs="Arial"/>
          <w:lang w:eastAsia="pl-PL"/>
        </w:rPr>
        <w:t>do</w:t>
      </w:r>
      <w:r w:rsidR="00FA73EE" w:rsidRPr="00B6580E">
        <w:rPr>
          <w:rFonts w:ascii="Arial" w:hAnsi="Arial" w:cs="Arial"/>
          <w:lang w:eastAsia="pl-PL"/>
        </w:rPr>
        <w:t xml:space="preserve"> </w:t>
      </w:r>
      <w:r w:rsidR="0014172E">
        <w:rPr>
          <w:rFonts w:ascii="Arial" w:hAnsi="Arial" w:cs="Arial"/>
          <w:lang w:eastAsia="pl-PL"/>
        </w:rPr>
        <w:t>3</w:t>
      </w:r>
      <w:r w:rsidRPr="00B6580E">
        <w:rPr>
          <w:rFonts w:ascii="Arial" w:hAnsi="Arial" w:cs="Arial"/>
          <w:lang w:eastAsia="pl-PL"/>
        </w:rPr>
        <w:t>%.  W latach 202</w:t>
      </w:r>
      <w:r w:rsidR="00B117F5">
        <w:rPr>
          <w:rFonts w:ascii="Arial" w:hAnsi="Arial" w:cs="Arial"/>
          <w:lang w:eastAsia="pl-PL"/>
        </w:rPr>
        <w:t>6</w:t>
      </w:r>
      <w:r w:rsidR="004035E9" w:rsidRPr="00B6580E">
        <w:rPr>
          <w:rFonts w:ascii="Arial" w:hAnsi="Arial" w:cs="Arial"/>
          <w:lang w:eastAsia="pl-PL"/>
        </w:rPr>
        <w:t xml:space="preserve"> </w:t>
      </w:r>
      <w:r w:rsidRPr="00B6580E">
        <w:rPr>
          <w:rFonts w:ascii="Arial" w:hAnsi="Arial" w:cs="Arial"/>
          <w:lang w:eastAsia="pl-PL"/>
        </w:rPr>
        <w:t>-</w:t>
      </w:r>
      <w:r w:rsidR="004035E9" w:rsidRPr="00B6580E">
        <w:rPr>
          <w:rFonts w:ascii="Arial" w:hAnsi="Arial" w:cs="Arial"/>
          <w:lang w:eastAsia="pl-PL"/>
        </w:rPr>
        <w:t xml:space="preserve"> </w:t>
      </w:r>
      <w:r w:rsidRPr="00B6580E">
        <w:rPr>
          <w:rFonts w:ascii="Arial" w:hAnsi="Arial" w:cs="Arial"/>
          <w:lang w:eastAsia="pl-PL"/>
        </w:rPr>
        <w:t xml:space="preserve">2034 została zaplanowana stabilizacja wydatków budżetowych na poziomie </w:t>
      </w:r>
      <w:r w:rsidR="00BC6010" w:rsidRPr="00B6580E">
        <w:rPr>
          <w:rFonts w:ascii="Arial" w:hAnsi="Arial" w:cs="Arial"/>
          <w:lang w:eastAsia="pl-PL"/>
        </w:rPr>
        <w:t xml:space="preserve">z </w:t>
      </w:r>
      <w:r w:rsidRPr="00B6580E">
        <w:rPr>
          <w:rFonts w:ascii="Arial" w:hAnsi="Arial" w:cs="Arial"/>
          <w:lang w:eastAsia="pl-PL"/>
        </w:rPr>
        <w:t>202</w:t>
      </w:r>
      <w:r w:rsidR="00B117F5">
        <w:rPr>
          <w:rFonts w:ascii="Arial" w:hAnsi="Arial" w:cs="Arial"/>
          <w:lang w:eastAsia="pl-PL"/>
        </w:rPr>
        <w:t>6</w:t>
      </w:r>
      <w:r w:rsidRPr="00B6580E">
        <w:rPr>
          <w:rFonts w:ascii="Arial" w:hAnsi="Arial" w:cs="Arial"/>
          <w:lang w:eastAsia="pl-PL"/>
        </w:rPr>
        <w:t xml:space="preserve"> r. Wynika to z prognozy możliwości</w:t>
      </w:r>
      <w:r w:rsidRPr="00524024">
        <w:rPr>
          <w:rFonts w:ascii="Arial" w:hAnsi="Arial" w:cs="Arial"/>
          <w:lang w:eastAsia="pl-PL"/>
        </w:rPr>
        <w:t xml:space="preserve"> finansowych, planowanych działań zmierzających do ograniczenia wzrostu wydatków bieżących oraz z dużego stopnia trudności w planowaniu budżetów w kolejnych latach.</w:t>
      </w:r>
    </w:p>
    <w:p w:rsid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0A2CC6">
        <w:rPr>
          <w:rFonts w:ascii="Arial" w:hAnsi="Arial" w:cs="Arial"/>
          <w:lang w:eastAsia="pl-PL"/>
        </w:rPr>
        <w:t>3.3  Wydatki na obsługę długu w 202</w:t>
      </w:r>
      <w:r w:rsidR="004C5BA1" w:rsidRPr="000A2CC6">
        <w:rPr>
          <w:rFonts w:ascii="Arial" w:hAnsi="Arial" w:cs="Arial"/>
          <w:lang w:eastAsia="pl-PL"/>
        </w:rPr>
        <w:t>1</w:t>
      </w:r>
      <w:r w:rsidRPr="000A2CC6">
        <w:rPr>
          <w:rFonts w:ascii="Arial" w:hAnsi="Arial" w:cs="Arial"/>
          <w:lang w:eastAsia="pl-PL"/>
        </w:rPr>
        <w:t xml:space="preserve"> r. skalkulowano uwzględniając marżę uzyskaną dla poszczególnych kredytów oraz WIBOR na poziomie </w:t>
      </w:r>
      <w:r w:rsidR="004C5BA1" w:rsidRPr="000A2CC6">
        <w:rPr>
          <w:rFonts w:ascii="Arial" w:hAnsi="Arial" w:cs="Arial"/>
          <w:lang w:eastAsia="pl-PL"/>
        </w:rPr>
        <w:t>1,50</w:t>
      </w:r>
      <w:r w:rsidRPr="000A2CC6">
        <w:rPr>
          <w:rFonts w:ascii="Arial" w:hAnsi="Arial" w:cs="Arial"/>
          <w:lang w:eastAsia="pl-PL"/>
        </w:rPr>
        <w:t>%</w:t>
      </w:r>
      <w:r w:rsidR="00E70799">
        <w:rPr>
          <w:rFonts w:ascii="Arial" w:hAnsi="Arial" w:cs="Arial"/>
          <w:lang w:eastAsia="pl-PL"/>
        </w:rPr>
        <w:t xml:space="preserve"> (</w:t>
      </w:r>
      <w:r w:rsidR="002956A9">
        <w:rPr>
          <w:rFonts w:ascii="Arial" w:hAnsi="Arial" w:cs="Arial"/>
          <w:lang w:eastAsia="pl-PL"/>
        </w:rPr>
        <w:t>aktualny</w:t>
      </w:r>
      <w:r w:rsidR="00106604">
        <w:rPr>
          <w:rFonts w:ascii="Arial" w:hAnsi="Arial" w:cs="Arial"/>
          <w:lang w:eastAsia="pl-PL"/>
        </w:rPr>
        <w:t xml:space="preserve"> </w:t>
      </w:r>
      <w:r w:rsidR="002956A9">
        <w:rPr>
          <w:rFonts w:ascii="Arial" w:hAnsi="Arial" w:cs="Arial"/>
          <w:lang w:eastAsia="pl-PL"/>
        </w:rPr>
        <w:t>WIBOR 3M wynosi 0,22%),</w:t>
      </w:r>
      <w:r w:rsidR="00E70799">
        <w:rPr>
          <w:rFonts w:ascii="Arial" w:hAnsi="Arial" w:cs="Arial"/>
          <w:lang w:eastAsia="pl-PL"/>
        </w:rPr>
        <w:t xml:space="preserve"> </w:t>
      </w:r>
      <w:r w:rsidRPr="000A2CC6">
        <w:rPr>
          <w:rFonts w:ascii="Arial" w:hAnsi="Arial" w:cs="Arial"/>
          <w:lang w:eastAsia="pl-PL"/>
        </w:rPr>
        <w:t>natomiast w latach 202</w:t>
      </w:r>
      <w:r w:rsidR="00FA3256" w:rsidRPr="000A2CC6">
        <w:rPr>
          <w:rFonts w:ascii="Arial" w:hAnsi="Arial" w:cs="Arial"/>
          <w:lang w:eastAsia="pl-PL"/>
        </w:rPr>
        <w:t>2</w:t>
      </w:r>
      <w:r w:rsidR="004C5BA1" w:rsidRPr="000A2CC6">
        <w:rPr>
          <w:rFonts w:ascii="Arial" w:hAnsi="Arial" w:cs="Arial"/>
          <w:lang w:eastAsia="pl-PL"/>
        </w:rPr>
        <w:t xml:space="preserve"> </w:t>
      </w:r>
      <w:r w:rsidRPr="000A2CC6">
        <w:rPr>
          <w:rFonts w:ascii="Arial" w:hAnsi="Arial" w:cs="Arial"/>
          <w:lang w:eastAsia="pl-PL"/>
        </w:rPr>
        <w:t>-</w:t>
      </w:r>
      <w:r w:rsidR="004C5BA1" w:rsidRPr="000A2CC6">
        <w:rPr>
          <w:rFonts w:ascii="Arial" w:hAnsi="Arial" w:cs="Arial"/>
          <w:lang w:eastAsia="pl-PL"/>
        </w:rPr>
        <w:t xml:space="preserve"> </w:t>
      </w:r>
      <w:r w:rsidRPr="000A2CC6">
        <w:rPr>
          <w:rFonts w:ascii="Arial" w:hAnsi="Arial" w:cs="Arial"/>
          <w:lang w:eastAsia="pl-PL"/>
        </w:rPr>
        <w:t>2034 WIBOR na poziomie 2%. Wydatki zostały przeliczone w oparciu o harmonogramy spłaty zadłużenia.</w:t>
      </w:r>
    </w:p>
    <w:p w:rsidR="00106604" w:rsidRDefault="0010660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p>
    <w:p w:rsidR="00106604" w:rsidRPr="00524024" w:rsidRDefault="0010660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r w:rsidRPr="00524024">
        <w:rPr>
          <w:rFonts w:ascii="Arial" w:hAnsi="Arial" w:cs="Arial"/>
          <w:b/>
          <w:bCs/>
          <w:lang w:eastAsia="pl-PL"/>
        </w:rPr>
        <w:lastRenderedPageBreak/>
        <w:t xml:space="preserve">4. Wydatki majątkowe </w:t>
      </w:r>
    </w:p>
    <w:p w:rsidR="00524024" w:rsidRPr="00524024" w:rsidRDefault="00524024" w:rsidP="005240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76" w:lineRule="auto"/>
        <w:jc w:val="both"/>
        <w:rPr>
          <w:rFonts w:ascii="Arial" w:hAnsi="Arial" w:cs="Arial"/>
          <w:lang w:eastAsia="pl-PL"/>
        </w:rPr>
      </w:pPr>
      <w:r w:rsidRPr="00524024">
        <w:rPr>
          <w:rFonts w:ascii="Arial" w:hAnsi="Arial" w:cs="Arial"/>
          <w:lang w:eastAsia="pl-PL"/>
        </w:rPr>
        <w:t>4.1 Zaplanowana na 202</w:t>
      </w:r>
      <w:r w:rsidR="00FA3256">
        <w:rPr>
          <w:rFonts w:ascii="Arial" w:hAnsi="Arial" w:cs="Arial"/>
          <w:lang w:eastAsia="pl-PL"/>
        </w:rPr>
        <w:t>1</w:t>
      </w:r>
      <w:r w:rsidR="00BC6010">
        <w:rPr>
          <w:rFonts w:ascii="Arial" w:hAnsi="Arial" w:cs="Arial"/>
          <w:lang w:eastAsia="pl-PL"/>
        </w:rPr>
        <w:t xml:space="preserve"> r. kwota wydatków majątkowych obejmuje </w:t>
      </w:r>
      <w:r w:rsidR="005C7966" w:rsidRPr="00524024">
        <w:rPr>
          <w:rFonts w:ascii="Arial" w:hAnsi="Arial" w:cs="Arial"/>
          <w:lang w:eastAsia="pl-PL"/>
        </w:rPr>
        <w:t>wieloletnie przedsięwzięcia</w:t>
      </w:r>
      <w:r w:rsidRPr="00524024">
        <w:rPr>
          <w:rFonts w:ascii="Arial" w:hAnsi="Arial" w:cs="Arial"/>
          <w:lang w:eastAsia="pl-PL"/>
        </w:rPr>
        <w:t xml:space="preserve"> inwestycyjne, które ujęto w załączniku nr 2 tj. w Wykazie przedsięwzięć do Wieloletniej Prognozy Finansowej Miasta Łomża, realizację projektów współfinansowanych ze środków UE (szczegóły w zał. Nr 4 do projektu uchwały budżetowej na 202</w:t>
      </w:r>
      <w:r w:rsidR="00FA3256">
        <w:rPr>
          <w:rFonts w:ascii="Arial" w:hAnsi="Arial" w:cs="Arial"/>
          <w:lang w:eastAsia="pl-PL"/>
        </w:rPr>
        <w:t>1</w:t>
      </w:r>
      <w:r w:rsidR="007A4DA7">
        <w:rPr>
          <w:rFonts w:ascii="Arial" w:hAnsi="Arial" w:cs="Arial"/>
          <w:lang w:eastAsia="pl-PL"/>
        </w:rPr>
        <w:t xml:space="preserve"> </w:t>
      </w:r>
      <w:r w:rsidRPr="00524024">
        <w:rPr>
          <w:rFonts w:ascii="Arial" w:hAnsi="Arial" w:cs="Arial"/>
          <w:lang w:eastAsia="pl-PL"/>
        </w:rPr>
        <w:t xml:space="preserve">r.) oraz istotnych dla Miasta i jednostek organizacyjnych zadań inwestycyjnych (szczegóły </w:t>
      </w:r>
      <w:r w:rsidRPr="00524024">
        <w:rPr>
          <w:rFonts w:ascii="Arial" w:hAnsi="Arial" w:cs="Arial"/>
          <w:lang w:eastAsia="pl-PL"/>
        </w:rPr>
        <w:br/>
        <w:t>w zał. Nr 3 do projektu uchwały budżetowej na 202</w:t>
      </w:r>
      <w:r w:rsidR="00FA3256">
        <w:rPr>
          <w:rFonts w:ascii="Arial" w:hAnsi="Arial" w:cs="Arial"/>
          <w:lang w:eastAsia="pl-PL"/>
        </w:rPr>
        <w:t>1</w:t>
      </w:r>
      <w:r w:rsidR="004035E9">
        <w:rPr>
          <w:rFonts w:ascii="Arial" w:hAnsi="Arial" w:cs="Arial"/>
          <w:lang w:eastAsia="pl-PL"/>
        </w:rPr>
        <w:t xml:space="preserve"> </w:t>
      </w:r>
      <w:r w:rsidRPr="00524024">
        <w:rPr>
          <w:rFonts w:ascii="Arial" w:hAnsi="Arial" w:cs="Arial"/>
          <w:lang w:eastAsia="pl-PL"/>
        </w:rPr>
        <w:t xml:space="preserve">r.). Prognozowane wydatki majątkowe </w:t>
      </w:r>
      <w:r w:rsidRPr="00524024">
        <w:rPr>
          <w:rFonts w:ascii="Arial" w:hAnsi="Arial" w:cs="Arial"/>
          <w:lang w:eastAsia="pl-PL"/>
        </w:rPr>
        <w:br/>
        <w:t>w 202</w:t>
      </w:r>
      <w:r w:rsidR="00FA3256">
        <w:rPr>
          <w:rFonts w:ascii="Arial" w:hAnsi="Arial" w:cs="Arial"/>
          <w:lang w:eastAsia="pl-PL"/>
        </w:rPr>
        <w:t>1</w:t>
      </w:r>
      <w:r w:rsidRPr="00524024">
        <w:rPr>
          <w:rFonts w:ascii="Arial" w:hAnsi="Arial" w:cs="Arial"/>
          <w:lang w:eastAsia="pl-PL"/>
        </w:rPr>
        <w:t xml:space="preserve"> r. wynoszą </w:t>
      </w:r>
      <w:r w:rsidR="007A4DA7" w:rsidRPr="00B6580E">
        <w:rPr>
          <w:rFonts w:ascii="Arial" w:hAnsi="Arial" w:cs="Arial"/>
          <w:lang w:eastAsia="pl-PL"/>
        </w:rPr>
        <w:t>68</w:t>
      </w:r>
      <w:r w:rsidR="00ED22EA" w:rsidRPr="00B6580E">
        <w:rPr>
          <w:rFonts w:ascii="Arial" w:hAnsi="Arial" w:cs="Arial"/>
          <w:lang w:eastAsia="pl-PL"/>
        </w:rPr>
        <w:t>.</w:t>
      </w:r>
      <w:r w:rsidR="007A4DA7" w:rsidRPr="00B6580E">
        <w:rPr>
          <w:rFonts w:ascii="Arial" w:hAnsi="Arial" w:cs="Arial"/>
          <w:lang w:eastAsia="pl-PL"/>
        </w:rPr>
        <w:t>220.</w:t>
      </w:r>
      <w:r w:rsidR="00BC6010" w:rsidRPr="00B6580E">
        <w:rPr>
          <w:rFonts w:ascii="Arial" w:hAnsi="Arial" w:cs="Arial"/>
          <w:lang w:eastAsia="pl-PL"/>
        </w:rPr>
        <w:t>923</w:t>
      </w:r>
      <w:r w:rsidRPr="00524024">
        <w:rPr>
          <w:rFonts w:ascii="Arial" w:hAnsi="Arial" w:cs="Arial"/>
          <w:lang w:eastAsia="pl-PL"/>
        </w:rPr>
        <w:t xml:space="preserve"> zł. </w:t>
      </w:r>
      <w:r w:rsidRPr="007A60E9">
        <w:rPr>
          <w:rFonts w:ascii="Arial" w:hAnsi="Arial" w:cs="Arial"/>
          <w:lang w:eastAsia="pl-PL"/>
        </w:rPr>
        <w:t>Od 202</w:t>
      </w:r>
      <w:r w:rsidR="00FA3256" w:rsidRPr="007A60E9">
        <w:rPr>
          <w:rFonts w:ascii="Arial" w:hAnsi="Arial" w:cs="Arial"/>
          <w:lang w:eastAsia="pl-PL"/>
        </w:rPr>
        <w:t>5</w:t>
      </w:r>
      <w:r w:rsidRPr="007A60E9">
        <w:rPr>
          <w:rFonts w:ascii="Arial" w:hAnsi="Arial" w:cs="Arial"/>
          <w:lang w:eastAsia="pl-PL"/>
        </w:rPr>
        <w:t xml:space="preserve"> r. wydatki majątkowe zostały zaplanowane jedynie w ramach środków własnych, bez zewnętrznych źródeł dofinansowania.</w:t>
      </w:r>
      <w:r w:rsidRPr="00524024">
        <w:rPr>
          <w:rFonts w:ascii="Arial" w:hAnsi="Arial" w:cs="Arial"/>
          <w:lang w:eastAsia="pl-PL"/>
        </w:rPr>
        <w:t xml:space="preserve"> </w:t>
      </w:r>
    </w:p>
    <w:p w:rsidR="00524024" w:rsidRPr="00524024" w:rsidRDefault="00524024" w:rsidP="00524024">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76" w:lineRule="auto"/>
        <w:jc w:val="both"/>
        <w:rPr>
          <w:rFonts w:ascii="Arial" w:hAnsi="Arial" w:cs="Arial"/>
          <w:b/>
          <w:bCs/>
          <w:lang w:eastAsia="pl-PL"/>
        </w:rPr>
      </w:pPr>
      <w:r w:rsidRPr="00524024">
        <w:rPr>
          <w:rFonts w:ascii="Arial" w:hAnsi="Arial" w:cs="Arial"/>
          <w:b/>
          <w:bCs/>
          <w:lang w:eastAsia="pl-PL"/>
        </w:rPr>
        <w:t xml:space="preserve"> 5. Przychody, rozchody oraz kwota długu</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E56F74">
        <w:rPr>
          <w:rFonts w:ascii="Arial" w:hAnsi="Arial" w:cs="Arial"/>
          <w:lang w:eastAsia="pl-PL"/>
        </w:rPr>
        <w:t>5.1 W celu realizacji przyjętego programu wydatków majątkowych oraz pokrycia deficytu budżetu założono pozyskanie zewnętrznych źródeł finansowania w 202</w:t>
      </w:r>
      <w:r w:rsidR="001F2722" w:rsidRPr="00E56F74">
        <w:rPr>
          <w:rFonts w:ascii="Arial" w:hAnsi="Arial" w:cs="Arial"/>
          <w:lang w:eastAsia="pl-PL"/>
        </w:rPr>
        <w:t>1</w:t>
      </w:r>
      <w:r w:rsidRPr="00E56F74">
        <w:rPr>
          <w:rFonts w:ascii="Arial" w:hAnsi="Arial" w:cs="Arial"/>
          <w:lang w:eastAsia="pl-PL"/>
        </w:rPr>
        <w:t xml:space="preserve"> r</w:t>
      </w:r>
      <w:r w:rsidR="00E56F74" w:rsidRPr="005C7966">
        <w:rPr>
          <w:rFonts w:ascii="Arial" w:hAnsi="Arial" w:cs="Arial"/>
          <w:lang w:eastAsia="pl-PL"/>
        </w:rPr>
        <w:t>. w formie kredytu w wysokości 25.000.000 zł oraz w 2022</w:t>
      </w:r>
      <w:r w:rsidRPr="005C7966">
        <w:rPr>
          <w:rFonts w:ascii="Arial" w:hAnsi="Arial" w:cs="Arial"/>
          <w:lang w:eastAsia="pl-PL"/>
        </w:rPr>
        <w:t xml:space="preserve"> r. </w:t>
      </w:r>
      <w:r w:rsidR="00E56F74" w:rsidRPr="005C7966">
        <w:rPr>
          <w:rFonts w:ascii="Arial" w:hAnsi="Arial" w:cs="Arial"/>
          <w:lang w:eastAsia="pl-PL"/>
        </w:rPr>
        <w:t>w wysokości 9</w:t>
      </w:r>
      <w:r w:rsidRPr="005C7966">
        <w:rPr>
          <w:rFonts w:ascii="Arial" w:hAnsi="Arial" w:cs="Arial"/>
          <w:lang w:eastAsia="pl-PL"/>
        </w:rPr>
        <w:t>.000.000 zł. Planowana wielkość przychodów z tytułu kredytów w latach 202</w:t>
      </w:r>
      <w:r w:rsidR="003C669D" w:rsidRPr="005C7966">
        <w:rPr>
          <w:rFonts w:ascii="Arial" w:hAnsi="Arial" w:cs="Arial"/>
          <w:lang w:eastAsia="pl-PL"/>
        </w:rPr>
        <w:t>1</w:t>
      </w:r>
      <w:r w:rsidR="00ED22EA" w:rsidRPr="005C7966">
        <w:rPr>
          <w:rFonts w:ascii="Arial" w:hAnsi="Arial" w:cs="Arial"/>
          <w:lang w:eastAsia="pl-PL"/>
        </w:rPr>
        <w:t xml:space="preserve"> </w:t>
      </w:r>
      <w:r w:rsidRPr="005C7966">
        <w:rPr>
          <w:rFonts w:ascii="Arial" w:hAnsi="Arial" w:cs="Arial"/>
          <w:lang w:eastAsia="pl-PL"/>
        </w:rPr>
        <w:t>-</w:t>
      </w:r>
      <w:r w:rsidR="00ED22EA" w:rsidRPr="005C7966">
        <w:rPr>
          <w:rFonts w:ascii="Arial" w:hAnsi="Arial" w:cs="Arial"/>
          <w:lang w:eastAsia="pl-PL"/>
        </w:rPr>
        <w:t xml:space="preserve"> </w:t>
      </w:r>
      <w:r w:rsidRPr="005C7966">
        <w:rPr>
          <w:rFonts w:ascii="Arial" w:hAnsi="Arial" w:cs="Arial"/>
          <w:lang w:eastAsia="pl-PL"/>
        </w:rPr>
        <w:t>202</w:t>
      </w:r>
      <w:r w:rsidR="003C669D" w:rsidRPr="005C7966">
        <w:rPr>
          <w:rFonts w:ascii="Arial" w:hAnsi="Arial" w:cs="Arial"/>
          <w:lang w:eastAsia="pl-PL"/>
        </w:rPr>
        <w:t>2</w:t>
      </w:r>
      <w:r w:rsidRPr="005C7966">
        <w:rPr>
          <w:rFonts w:ascii="Arial" w:hAnsi="Arial" w:cs="Arial"/>
          <w:lang w:eastAsia="pl-PL"/>
        </w:rPr>
        <w:t xml:space="preserve"> wynika z konieczności zabezpieczenia finansowego planowanych przedsięwzięć, jednakże zostały </w:t>
      </w:r>
      <w:r w:rsidRPr="0082569F">
        <w:rPr>
          <w:rFonts w:ascii="Arial" w:hAnsi="Arial" w:cs="Arial"/>
          <w:lang w:eastAsia="pl-PL"/>
        </w:rPr>
        <w:t>złożone wnioski o dofinansowanie, które są w trakcie oceny oraz planowane jest złożenie kolejnych w I kw. 202</w:t>
      </w:r>
      <w:r w:rsidR="003C669D" w:rsidRPr="0082569F">
        <w:rPr>
          <w:rFonts w:ascii="Arial" w:hAnsi="Arial" w:cs="Arial"/>
          <w:lang w:eastAsia="pl-PL"/>
        </w:rPr>
        <w:t>1</w:t>
      </w:r>
      <w:r w:rsidRPr="0082569F">
        <w:rPr>
          <w:rFonts w:ascii="Arial" w:hAnsi="Arial" w:cs="Arial"/>
          <w:lang w:eastAsia="pl-PL"/>
        </w:rPr>
        <w:t xml:space="preserve"> r. i w przypadku pozyskania wspomnianego dofinansowania</w:t>
      </w:r>
      <w:r w:rsidR="0011015A">
        <w:rPr>
          <w:rFonts w:ascii="Arial" w:hAnsi="Arial" w:cs="Arial"/>
          <w:lang w:eastAsia="pl-PL"/>
        </w:rPr>
        <w:t xml:space="preserve"> być może</w:t>
      </w:r>
      <w:r w:rsidRPr="0082569F">
        <w:rPr>
          <w:rFonts w:ascii="Arial" w:hAnsi="Arial" w:cs="Arial"/>
          <w:lang w:eastAsia="pl-PL"/>
        </w:rPr>
        <w:t xml:space="preserve"> nie będzie zachodziła konieczność zaciągnięcia kredytów w wyżej wskazanych wysokościach. W pozostałych latach nie planuje się zaciągnięcia kredytów. W latach 202</w:t>
      </w:r>
      <w:r w:rsidR="003C669D" w:rsidRPr="0082569F">
        <w:rPr>
          <w:rFonts w:ascii="Arial" w:hAnsi="Arial" w:cs="Arial"/>
          <w:lang w:eastAsia="pl-PL"/>
        </w:rPr>
        <w:t>3</w:t>
      </w:r>
      <w:r w:rsidR="005C7966" w:rsidRPr="0082569F">
        <w:rPr>
          <w:rFonts w:ascii="Arial" w:hAnsi="Arial" w:cs="Arial"/>
          <w:lang w:eastAsia="pl-PL"/>
        </w:rPr>
        <w:t xml:space="preserve"> </w:t>
      </w:r>
      <w:r w:rsidRPr="0082569F">
        <w:rPr>
          <w:rFonts w:ascii="Arial" w:hAnsi="Arial" w:cs="Arial"/>
          <w:lang w:eastAsia="pl-PL"/>
        </w:rPr>
        <w:t>-</w:t>
      </w:r>
      <w:r w:rsidR="005C7966" w:rsidRPr="0082569F">
        <w:rPr>
          <w:rFonts w:ascii="Arial" w:hAnsi="Arial" w:cs="Arial"/>
          <w:lang w:eastAsia="pl-PL"/>
        </w:rPr>
        <w:t xml:space="preserve"> </w:t>
      </w:r>
      <w:r w:rsidRPr="0082569F">
        <w:rPr>
          <w:rFonts w:ascii="Arial" w:hAnsi="Arial" w:cs="Arial"/>
          <w:lang w:eastAsia="pl-PL"/>
        </w:rPr>
        <w:t>2034 planuje</w:t>
      </w:r>
      <w:r w:rsidRPr="00524024">
        <w:rPr>
          <w:rFonts w:ascii="Arial" w:hAnsi="Arial" w:cs="Arial"/>
          <w:lang w:eastAsia="pl-PL"/>
        </w:rPr>
        <w:t xml:space="preserve"> się nadwyżkę budżetową z przeznaczeniem na spłatę kredytów. </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524024">
        <w:rPr>
          <w:rFonts w:ascii="Arial" w:hAnsi="Arial" w:cs="Arial"/>
          <w:lang w:eastAsia="pl-PL"/>
        </w:rPr>
        <w:t>5.2  Rozchody budżetu związane ze spłatą rat kapitałowych zaciągniętych kredytów określono na podstawie aktualnych harmonogramów spłaty. W 202</w:t>
      </w:r>
      <w:r w:rsidR="00C32EAC">
        <w:rPr>
          <w:rFonts w:ascii="Arial" w:hAnsi="Arial" w:cs="Arial"/>
          <w:lang w:eastAsia="pl-PL"/>
        </w:rPr>
        <w:t>1</w:t>
      </w:r>
      <w:r w:rsidRPr="00524024">
        <w:rPr>
          <w:rFonts w:ascii="Arial" w:hAnsi="Arial" w:cs="Arial"/>
          <w:lang w:eastAsia="pl-PL"/>
        </w:rPr>
        <w:t xml:space="preserve"> r. planowane rozchody </w:t>
      </w:r>
      <w:r w:rsidRPr="00524024">
        <w:rPr>
          <w:rFonts w:ascii="Arial" w:hAnsi="Arial" w:cs="Arial"/>
          <w:lang w:eastAsia="pl-PL"/>
        </w:rPr>
        <w:br/>
        <w:t xml:space="preserve">z przeznaczeniem na spłatę kredytów z tytułu zawartych umów wyniosą </w:t>
      </w:r>
      <w:r w:rsidR="00E56F74">
        <w:rPr>
          <w:rFonts w:ascii="Arial" w:hAnsi="Arial" w:cs="Arial"/>
          <w:lang w:eastAsia="pl-PL"/>
        </w:rPr>
        <w:t>12.543.247,00</w:t>
      </w:r>
      <w:r w:rsidR="00247236">
        <w:rPr>
          <w:rFonts w:ascii="Arial" w:hAnsi="Arial" w:cs="Arial"/>
          <w:lang w:eastAsia="pl-PL"/>
        </w:rPr>
        <w:t xml:space="preserve"> zł </w:t>
      </w:r>
      <w:r w:rsidR="00247236">
        <w:rPr>
          <w:rFonts w:ascii="Arial" w:hAnsi="Arial" w:cs="Arial"/>
          <w:lang w:eastAsia="pl-PL"/>
        </w:rPr>
        <w:br/>
        <w:t>i zostaną</w:t>
      </w:r>
      <w:r w:rsidRPr="00524024">
        <w:rPr>
          <w:rFonts w:ascii="Arial" w:hAnsi="Arial" w:cs="Arial"/>
          <w:lang w:eastAsia="pl-PL"/>
        </w:rPr>
        <w:t xml:space="preserve"> pokryte przychodami z tytułu kredytu długoterminowego.</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524024">
        <w:rPr>
          <w:rFonts w:ascii="Arial" w:hAnsi="Arial" w:cs="Arial"/>
          <w:lang w:eastAsia="pl-PL"/>
        </w:rPr>
        <w:t xml:space="preserve"> 5.3 Poziom długu na koniec 202</w:t>
      </w:r>
      <w:r w:rsidR="00C32EAC">
        <w:rPr>
          <w:rFonts w:ascii="Arial" w:hAnsi="Arial" w:cs="Arial"/>
          <w:lang w:eastAsia="pl-PL"/>
        </w:rPr>
        <w:t>1</w:t>
      </w:r>
      <w:r w:rsidRPr="00524024">
        <w:rPr>
          <w:rFonts w:ascii="Arial" w:hAnsi="Arial" w:cs="Arial"/>
          <w:lang w:eastAsia="pl-PL"/>
        </w:rPr>
        <w:t xml:space="preserve"> roku budżetowego będzie wynosił </w:t>
      </w:r>
      <w:r w:rsidR="00F0729C">
        <w:rPr>
          <w:rFonts w:ascii="Arial" w:hAnsi="Arial" w:cs="Arial"/>
          <w:lang w:eastAsia="pl-PL"/>
        </w:rPr>
        <w:t>173.506.658,31</w:t>
      </w:r>
      <w:r w:rsidR="00847190">
        <w:rPr>
          <w:rFonts w:ascii="Arial" w:hAnsi="Arial" w:cs="Arial"/>
          <w:lang w:eastAsia="pl-PL"/>
        </w:rPr>
        <w:t xml:space="preserve"> zł, co stanowi </w:t>
      </w:r>
      <w:r w:rsidR="00FE59F8">
        <w:rPr>
          <w:rFonts w:ascii="Arial" w:hAnsi="Arial" w:cs="Arial"/>
          <w:lang w:eastAsia="pl-PL"/>
        </w:rPr>
        <w:t>39,25</w:t>
      </w:r>
      <w:r w:rsidR="00847190">
        <w:rPr>
          <w:rFonts w:ascii="Arial" w:hAnsi="Arial" w:cs="Arial"/>
          <w:lang w:eastAsia="pl-PL"/>
        </w:rPr>
        <w:t xml:space="preserve">% planowanego dochodu ogółem. </w:t>
      </w:r>
      <w:r w:rsidRPr="00F0729C">
        <w:rPr>
          <w:rFonts w:ascii="Arial" w:hAnsi="Arial" w:cs="Arial"/>
          <w:lang w:eastAsia="pl-PL"/>
        </w:rPr>
        <w:t>Od 202</w:t>
      </w:r>
      <w:r w:rsidR="00C32EAC" w:rsidRPr="00F0729C">
        <w:rPr>
          <w:rFonts w:ascii="Arial" w:hAnsi="Arial" w:cs="Arial"/>
          <w:lang w:eastAsia="pl-PL"/>
        </w:rPr>
        <w:t>3</w:t>
      </w:r>
      <w:r w:rsidRPr="00F0729C">
        <w:rPr>
          <w:rFonts w:ascii="Arial" w:hAnsi="Arial" w:cs="Arial"/>
          <w:lang w:eastAsia="pl-PL"/>
        </w:rPr>
        <w:t xml:space="preserve"> r. następuje spadek zadłużenia, przy zakładanej całkowitej spłacie zobowiązań do końca 2034 r.</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r w:rsidRPr="00524024">
        <w:rPr>
          <w:rFonts w:ascii="Arial" w:hAnsi="Arial" w:cs="Arial"/>
          <w:b/>
          <w:bCs/>
          <w:lang w:eastAsia="pl-PL"/>
        </w:rPr>
        <w:t xml:space="preserve"> 6. Wynik budżetu </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524024">
        <w:rPr>
          <w:rFonts w:ascii="Arial" w:hAnsi="Arial" w:cs="Arial"/>
          <w:lang w:eastAsia="pl-PL"/>
        </w:rPr>
        <w:t xml:space="preserve">6.1 W całym prognozowanym okresie spełniona jest relacja wynikająca z art. 242 ustawy </w:t>
      </w:r>
      <w:r w:rsidRPr="00524024">
        <w:rPr>
          <w:rFonts w:ascii="Arial" w:hAnsi="Arial" w:cs="Arial"/>
          <w:lang w:eastAsia="pl-PL"/>
        </w:rPr>
        <w:br/>
        <w:t>o finansach publicznych w zakresie zrównoważenia dochodów</w:t>
      </w:r>
      <w:r w:rsidR="00A203D5">
        <w:rPr>
          <w:rFonts w:ascii="Arial" w:hAnsi="Arial" w:cs="Arial"/>
          <w:lang w:eastAsia="pl-PL"/>
        </w:rPr>
        <w:t xml:space="preserve"> i wydatków bieżących. </w:t>
      </w:r>
      <w:r w:rsidR="00A203D5">
        <w:rPr>
          <w:rFonts w:ascii="Arial" w:hAnsi="Arial" w:cs="Arial"/>
          <w:lang w:eastAsia="pl-PL"/>
        </w:rPr>
        <w:br/>
        <w:t>Dla 2021</w:t>
      </w:r>
      <w:r w:rsidRPr="00524024">
        <w:rPr>
          <w:rFonts w:ascii="Arial" w:hAnsi="Arial" w:cs="Arial"/>
          <w:lang w:eastAsia="pl-PL"/>
        </w:rPr>
        <w:t xml:space="preserve"> r. planowana nadwyżka operacyjna wynosi </w:t>
      </w:r>
      <w:r w:rsidR="00775C34" w:rsidRPr="00B6580E">
        <w:rPr>
          <w:rFonts w:ascii="Arial" w:hAnsi="Arial" w:cs="Arial"/>
          <w:lang w:eastAsia="pl-PL"/>
        </w:rPr>
        <w:t>14</w:t>
      </w:r>
      <w:r w:rsidR="00F1656B">
        <w:rPr>
          <w:rFonts w:ascii="Arial" w:hAnsi="Arial" w:cs="Arial"/>
          <w:lang w:eastAsia="pl-PL"/>
        </w:rPr>
        <w:t>.</w:t>
      </w:r>
      <w:r w:rsidR="00775C34" w:rsidRPr="00B6580E">
        <w:rPr>
          <w:rFonts w:ascii="Arial" w:hAnsi="Arial" w:cs="Arial"/>
          <w:lang w:eastAsia="pl-PL"/>
        </w:rPr>
        <w:t>984</w:t>
      </w:r>
      <w:r w:rsidR="00F1656B">
        <w:rPr>
          <w:rFonts w:ascii="Arial" w:hAnsi="Arial" w:cs="Arial"/>
          <w:lang w:eastAsia="pl-PL"/>
        </w:rPr>
        <w:t>.</w:t>
      </w:r>
      <w:r w:rsidR="00775C34" w:rsidRPr="00B6580E">
        <w:rPr>
          <w:rFonts w:ascii="Arial" w:hAnsi="Arial" w:cs="Arial"/>
          <w:lang w:eastAsia="pl-PL"/>
        </w:rPr>
        <w:t>097</w:t>
      </w:r>
      <w:r w:rsidRPr="00B6580E">
        <w:rPr>
          <w:rFonts w:ascii="Arial" w:hAnsi="Arial" w:cs="Arial"/>
          <w:lang w:eastAsia="pl-PL"/>
        </w:rPr>
        <w:t xml:space="preserve"> zł.</w:t>
      </w:r>
      <w:r w:rsidRPr="00524024">
        <w:rPr>
          <w:rFonts w:ascii="Arial" w:hAnsi="Arial" w:cs="Arial"/>
          <w:lang w:eastAsia="pl-PL"/>
        </w:rPr>
        <w:t xml:space="preserve"> Dla całego okresu Wieloletniej Prognozy Finansowej zachowany został wymóg spełnienia relacji wynikającej </w:t>
      </w:r>
      <w:r w:rsidRPr="00524024">
        <w:rPr>
          <w:rFonts w:ascii="Arial" w:hAnsi="Arial" w:cs="Arial"/>
          <w:lang w:eastAsia="pl-PL"/>
        </w:rPr>
        <w:br/>
        <w:t>z art.243 ust.1. ustawy o finansach publicznych.</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524024">
        <w:rPr>
          <w:rFonts w:ascii="Arial" w:hAnsi="Arial" w:cs="Arial"/>
          <w:lang w:eastAsia="pl-PL"/>
        </w:rPr>
        <w:t>6.2 Deficyt budżetu na 202</w:t>
      </w:r>
      <w:r w:rsidR="00A203D5">
        <w:rPr>
          <w:rFonts w:ascii="Arial" w:hAnsi="Arial" w:cs="Arial"/>
          <w:lang w:eastAsia="pl-PL"/>
        </w:rPr>
        <w:t>1</w:t>
      </w:r>
      <w:r w:rsidRPr="00524024">
        <w:rPr>
          <w:rFonts w:ascii="Arial" w:hAnsi="Arial" w:cs="Arial"/>
          <w:lang w:eastAsia="pl-PL"/>
        </w:rPr>
        <w:t xml:space="preserve"> r. wynosi </w:t>
      </w:r>
      <w:r w:rsidR="007263E5" w:rsidRPr="00B6580E">
        <w:rPr>
          <w:rFonts w:ascii="Arial" w:hAnsi="Arial" w:cs="Arial"/>
          <w:lang w:eastAsia="pl-PL"/>
        </w:rPr>
        <w:t>12</w:t>
      </w:r>
      <w:r w:rsidR="00F1656B">
        <w:rPr>
          <w:rFonts w:ascii="Arial" w:hAnsi="Arial" w:cs="Arial"/>
          <w:lang w:eastAsia="pl-PL"/>
        </w:rPr>
        <w:t>.</w:t>
      </w:r>
      <w:r w:rsidR="007263E5" w:rsidRPr="00B6580E">
        <w:rPr>
          <w:rFonts w:ascii="Arial" w:hAnsi="Arial" w:cs="Arial"/>
          <w:lang w:eastAsia="pl-PL"/>
        </w:rPr>
        <w:t>456</w:t>
      </w:r>
      <w:r w:rsidR="00F1656B">
        <w:rPr>
          <w:rFonts w:ascii="Arial" w:hAnsi="Arial" w:cs="Arial"/>
          <w:lang w:eastAsia="pl-PL"/>
        </w:rPr>
        <w:t>.</w:t>
      </w:r>
      <w:r w:rsidR="007263E5" w:rsidRPr="00B6580E">
        <w:rPr>
          <w:rFonts w:ascii="Arial" w:hAnsi="Arial" w:cs="Arial"/>
          <w:lang w:eastAsia="pl-PL"/>
        </w:rPr>
        <w:t>753</w:t>
      </w:r>
      <w:r w:rsidRPr="00B6580E">
        <w:rPr>
          <w:rFonts w:ascii="Arial" w:hAnsi="Arial" w:cs="Arial"/>
          <w:lang w:eastAsia="pl-PL"/>
        </w:rPr>
        <w:t xml:space="preserve"> zł, który zostanie</w:t>
      </w:r>
      <w:r w:rsidRPr="00524024">
        <w:rPr>
          <w:rFonts w:ascii="Arial" w:hAnsi="Arial" w:cs="Arial"/>
          <w:lang w:eastAsia="pl-PL"/>
        </w:rPr>
        <w:t xml:space="preserve"> </w:t>
      </w:r>
      <w:r w:rsidR="00F203B3">
        <w:rPr>
          <w:rFonts w:ascii="Arial" w:hAnsi="Arial" w:cs="Arial"/>
          <w:lang w:eastAsia="pl-PL"/>
        </w:rPr>
        <w:t xml:space="preserve">w całości </w:t>
      </w:r>
      <w:r w:rsidRPr="00524024">
        <w:rPr>
          <w:rFonts w:ascii="Arial" w:hAnsi="Arial" w:cs="Arial"/>
          <w:lang w:eastAsia="pl-PL"/>
        </w:rPr>
        <w:t xml:space="preserve">pokryty </w:t>
      </w:r>
      <w:r w:rsidR="007263E5">
        <w:rPr>
          <w:rFonts w:ascii="Arial" w:hAnsi="Arial" w:cs="Arial"/>
          <w:lang w:eastAsia="pl-PL"/>
        </w:rPr>
        <w:t>kredytem długoterminowym.</w:t>
      </w:r>
      <w:r w:rsidRPr="00524024">
        <w:rPr>
          <w:rFonts w:ascii="Arial" w:hAnsi="Arial" w:cs="Arial"/>
          <w:lang w:eastAsia="pl-PL"/>
        </w:rPr>
        <w:t xml:space="preserve"> </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b/>
          <w:bCs/>
          <w:lang w:eastAsia="pl-PL"/>
        </w:rPr>
      </w:pPr>
      <w:r w:rsidRPr="00524024">
        <w:rPr>
          <w:rFonts w:ascii="Arial" w:hAnsi="Arial" w:cs="Arial"/>
          <w:b/>
          <w:bCs/>
          <w:lang w:eastAsia="pl-PL"/>
        </w:rPr>
        <w:t>7. Wykaz przedsięwzięć realizowanych w latach 2020-2023</w:t>
      </w:r>
    </w:p>
    <w:p w:rsidR="00524024" w:rsidRPr="00524024" w:rsidRDefault="0034428F"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Pr>
          <w:rFonts w:ascii="Arial" w:hAnsi="Arial" w:cs="Arial"/>
          <w:lang w:eastAsia="pl-PL"/>
        </w:rPr>
        <w:t>W</w:t>
      </w:r>
      <w:r w:rsidR="00524024" w:rsidRPr="00524024">
        <w:rPr>
          <w:rFonts w:ascii="Arial" w:hAnsi="Arial" w:cs="Arial"/>
          <w:lang w:eastAsia="pl-PL"/>
        </w:rPr>
        <w:t xml:space="preserve"> załączniku „Wykaz przedsięwzięć do WPF” przedstawiono realizację zadań na lata </w:t>
      </w:r>
      <w:r w:rsidR="00524024" w:rsidRPr="00524024">
        <w:rPr>
          <w:rFonts w:ascii="Arial" w:hAnsi="Arial" w:cs="Arial"/>
          <w:lang w:eastAsia="pl-PL"/>
        </w:rPr>
        <w:br/>
        <w:t>202</w:t>
      </w:r>
      <w:r w:rsidR="001F2722">
        <w:rPr>
          <w:rFonts w:ascii="Arial" w:hAnsi="Arial" w:cs="Arial"/>
          <w:lang w:eastAsia="pl-PL"/>
        </w:rPr>
        <w:t>1</w:t>
      </w:r>
      <w:r w:rsidR="00524024" w:rsidRPr="00524024">
        <w:rPr>
          <w:rFonts w:ascii="Arial" w:hAnsi="Arial" w:cs="Arial"/>
          <w:lang w:eastAsia="pl-PL"/>
        </w:rPr>
        <w:t>-202</w:t>
      </w:r>
      <w:r w:rsidR="001F2722">
        <w:rPr>
          <w:rFonts w:ascii="Arial" w:hAnsi="Arial" w:cs="Arial"/>
          <w:lang w:eastAsia="pl-PL"/>
        </w:rPr>
        <w:t>4</w:t>
      </w:r>
      <w:r w:rsidR="00524024" w:rsidRPr="00524024">
        <w:rPr>
          <w:rFonts w:ascii="Arial" w:hAnsi="Arial" w:cs="Arial"/>
          <w:lang w:eastAsia="pl-PL"/>
        </w:rPr>
        <w:t>. W 202</w:t>
      </w:r>
      <w:r w:rsidR="001F2722">
        <w:rPr>
          <w:rFonts w:ascii="Arial" w:hAnsi="Arial" w:cs="Arial"/>
          <w:lang w:eastAsia="pl-PL"/>
        </w:rPr>
        <w:t>1</w:t>
      </w:r>
      <w:r w:rsidR="00524024" w:rsidRPr="00524024">
        <w:rPr>
          <w:rFonts w:ascii="Arial" w:hAnsi="Arial" w:cs="Arial"/>
          <w:lang w:eastAsia="pl-PL"/>
        </w:rPr>
        <w:t xml:space="preserve"> r. limit wydatków na przedsięwzięcia ogółem wynosi </w:t>
      </w:r>
      <w:r w:rsidR="00F1656B">
        <w:rPr>
          <w:rFonts w:ascii="Arial" w:hAnsi="Arial" w:cs="Arial"/>
          <w:lang w:eastAsia="pl-PL"/>
        </w:rPr>
        <w:t>75.864.826</w:t>
      </w:r>
      <w:r w:rsidR="00524024" w:rsidRPr="00775C34">
        <w:rPr>
          <w:rFonts w:ascii="Arial" w:hAnsi="Arial" w:cs="Arial"/>
          <w:lang w:eastAsia="pl-PL"/>
        </w:rPr>
        <w:t xml:space="preserve"> zł</w:t>
      </w:r>
      <w:r w:rsidR="004035E9" w:rsidRPr="00775C34">
        <w:rPr>
          <w:rFonts w:ascii="Arial" w:hAnsi="Arial" w:cs="Arial"/>
          <w:lang w:eastAsia="pl-PL"/>
        </w:rPr>
        <w:t>,</w:t>
      </w:r>
      <w:r w:rsidR="00524024" w:rsidRPr="00524024">
        <w:rPr>
          <w:rFonts w:ascii="Arial" w:hAnsi="Arial" w:cs="Arial"/>
          <w:lang w:eastAsia="pl-PL"/>
        </w:rPr>
        <w:br/>
        <w:t xml:space="preserve">z czego limit na wydatki bieżące wynosi </w:t>
      </w:r>
      <w:r w:rsidR="00F1656B">
        <w:rPr>
          <w:rFonts w:ascii="Arial" w:hAnsi="Arial" w:cs="Arial"/>
          <w:lang w:eastAsia="pl-PL"/>
        </w:rPr>
        <w:t>15.990.903</w:t>
      </w:r>
      <w:r w:rsidR="00524024" w:rsidRPr="00524024">
        <w:rPr>
          <w:rFonts w:ascii="Arial" w:hAnsi="Arial" w:cs="Arial"/>
          <w:lang w:eastAsia="pl-PL"/>
        </w:rPr>
        <w:t xml:space="preserve"> zł, zaś limit na wydatki majątkowe </w:t>
      </w:r>
      <w:r w:rsidR="00524024" w:rsidRPr="00524024">
        <w:rPr>
          <w:rFonts w:ascii="Arial" w:hAnsi="Arial" w:cs="Arial"/>
          <w:lang w:eastAsia="pl-PL"/>
        </w:rPr>
        <w:br/>
      </w:r>
      <w:r w:rsidR="00F1656B">
        <w:rPr>
          <w:rFonts w:ascii="Arial" w:hAnsi="Arial" w:cs="Arial"/>
          <w:lang w:eastAsia="pl-PL"/>
        </w:rPr>
        <w:t>59.</w:t>
      </w:r>
      <w:r w:rsidR="00CB0BF4">
        <w:rPr>
          <w:rFonts w:ascii="Arial" w:hAnsi="Arial" w:cs="Arial"/>
          <w:lang w:eastAsia="pl-PL"/>
        </w:rPr>
        <w:t>873</w:t>
      </w:r>
      <w:r w:rsidR="00F1656B">
        <w:rPr>
          <w:rFonts w:ascii="Arial" w:hAnsi="Arial" w:cs="Arial"/>
          <w:lang w:eastAsia="pl-PL"/>
        </w:rPr>
        <w:t>.</w:t>
      </w:r>
      <w:r w:rsidR="001B3520">
        <w:rPr>
          <w:rFonts w:ascii="Arial" w:hAnsi="Arial" w:cs="Arial"/>
          <w:lang w:eastAsia="pl-PL"/>
        </w:rPr>
        <w:t>923</w:t>
      </w:r>
      <w:r w:rsidR="00524024" w:rsidRPr="00524024">
        <w:rPr>
          <w:rFonts w:ascii="Arial" w:hAnsi="Arial" w:cs="Arial"/>
          <w:lang w:eastAsia="pl-PL"/>
        </w:rPr>
        <w:t xml:space="preserve"> zł.</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524024">
        <w:rPr>
          <w:rFonts w:ascii="Arial" w:hAnsi="Arial" w:cs="Arial"/>
          <w:lang w:eastAsia="pl-PL"/>
        </w:rPr>
        <w:lastRenderedPageBreak/>
        <w:t xml:space="preserve">W ramach przedsięwzięć określonych w Załączniku Nr 2 do uchwały w sprawie wieloletniej prognozy finansowej wykazano kwoty wynikające z realizacji zadań inwestycyjnych </w:t>
      </w:r>
      <w:r w:rsidRPr="00524024">
        <w:rPr>
          <w:rFonts w:ascii="Arial" w:hAnsi="Arial" w:cs="Arial"/>
          <w:lang w:eastAsia="pl-PL"/>
        </w:rPr>
        <w:br/>
        <w:t>i bieżących finansowanych ze środków Unii Europejskiej, środków własnych oraz środków budżetu państwa, a mianowicie:</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524024">
        <w:rPr>
          <w:rFonts w:ascii="Arial" w:hAnsi="Arial" w:cs="Arial"/>
          <w:lang w:eastAsia="pl-PL"/>
        </w:rPr>
        <w:t xml:space="preserve">1.1 W ramach programów, projektów lub zadań związanych z programami realizowanymi </w:t>
      </w:r>
      <w:r w:rsidRPr="00524024">
        <w:rPr>
          <w:rFonts w:ascii="Arial" w:hAnsi="Arial" w:cs="Arial"/>
          <w:lang w:eastAsia="pl-PL"/>
        </w:rPr>
        <w:br/>
        <w:t>z udziałem środków unijnych limit wydatków na przedsięwzięcia ogółem w 202</w:t>
      </w:r>
      <w:r w:rsidR="001F2722">
        <w:rPr>
          <w:rFonts w:ascii="Arial" w:hAnsi="Arial" w:cs="Arial"/>
          <w:lang w:eastAsia="pl-PL"/>
        </w:rPr>
        <w:t>1</w:t>
      </w:r>
      <w:r w:rsidRPr="00524024">
        <w:rPr>
          <w:rFonts w:ascii="Arial" w:hAnsi="Arial" w:cs="Arial"/>
          <w:lang w:eastAsia="pl-PL"/>
        </w:rPr>
        <w:t xml:space="preserve"> r. wynosi </w:t>
      </w:r>
      <w:r w:rsidRPr="00524024">
        <w:rPr>
          <w:rFonts w:ascii="Arial" w:hAnsi="Arial" w:cs="Arial"/>
          <w:lang w:eastAsia="pl-PL"/>
        </w:rPr>
        <w:br/>
      </w:r>
      <w:r w:rsidR="00A430BE" w:rsidRPr="00EF7EA5">
        <w:rPr>
          <w:rFonts w:ascii="Arial" w:hAnsi="Arial" w:cs="Arial"/>
          <w:lang w:eastAsia="pl-PL"/>
        </w:rPr>
        <w:t>23</w:t>
      </w:r>
      <w:r w:rsidR="004020C1">
        <w:rPr>
          <w:rFonts w:ascii="Arial" w:hAnsi="Arial" w:cs="Arial"/>
          <w:lang w:eastAsia="pl-PL"/>
        </w:rPr>
        <w:t>.</w:t>
      </w:r>
      <w:r w:rsidR="00A430BE" w:rsidRPr="00EF7EA5">
        <w:rPr>
          <w:rFonts w:ascii="Arial" w:hAnsi="Arial" w:cs="Arial"/>
          <w:lang w:eastAsia="pl-PL"/>
        </w:rPr>
        <w:t>235</w:t>
      </w:r>
      <w:r w:rsidR="004020C1">
        <w:rPr>
          <w:rFonts w:ascii="Arial" w:hAnsi="Arial" w:cs="Arial"/>
          <w:lang w:eastAsia="pl-PL"/>
        </w:rPr>
        <w:t>.</w:t>
      </w:r>
      <w:r w:rsidR="00A430BE" w:rsidRPr="00EF7EA5">
        <w:rPr>
          <w:rFonts w:ascii="Arial" w:hAnsi="Arial" w:cs="Arial"/>
          <w:lang w:eastAsia="pl-PL"/>
        </w:rPr>
        <w:t>119</w:t>
      </w:r>
      <w:r w:rsidRPr="00EF7EA5">
        <w:rPr>
          <w:rFonts w:ascii="Arial" w:hAnsi="Arial" w:cs="Arial"/>
          <w:lang w:eastAsia="pl-PL"/>
        </w:rPr>
        <w:t xml:space="preserve"> zł</w:t>
      </w:r>
      <w:r w:rsidR="004035E9" w:rsidRPr="00EF7EA5">
        <w:rPr>
          <w:rFonts w:ascii="Arial" w:hAnsi="Arial" w:cs="Arial"/>
          <w:lang w:eastAsia="pl-PL"/>
        </w:rPr>
        <w:t>,</w:t>
      </w:r>
      <w:r w:rsidRPr="00524024">
        <w:rPr>
          <w:rFonts w:ascii="Arial" w:hAnsi="Arial" w:cs="Arial"/>
          <w:lang w:eastAsia="pl-PL"/>
        </w:rPr>
        <w:t xml:space="preserve"> z czego limit wydatków bieżących </w:t>
      </w:r>
      <w:r w:rsidRPr="00EF7EA5">
        <w:rPr>
          <w:rFonts w:ascii="Arial" w:hAnsi="Arial" w:cs="Arial"/>
          <w:lang w:eastAsia="pl-PL"/>
        </w:rPr>
        <w:t xml:space="preserve">wynosi </w:t>
      </w:r>
      <w:r w:rsidR="00A430BE" w:rsidRPr="00EF7EA5">
        <w:rPr>
          <w:rFonts w:ascii="Arial" w:hAnsi="Arial" w:cs="Arial"/>
          <w:lang w:eastAsia="pl-PL"/>
        </w:rPr>
        <w:t>4</w:t>
      </w:r>
      <w:r w:rsidR="004020C1">
        <w:rPr>
          <w:rFonts w:ascii="Arial" w:hAnsi="Arial" w:cs="Arial"/>
          <w:lang w:eastAsia="pl-PL"/>
        </w:rPr>
        <w:t>.</w:t>
      </w:r>
      <w:r w:rsidR="00A430BE" w:rsidRPr="00EF7EA5">
        <w:rPr>
          <w:rFonts w:ascii="Arial" w:hAnsi="Arial" w:cs="Arial"/>
          <w:lang w:eastAsia="pl-PL"/>
        </w:rPr>
        <w:t>235</w:t>
      </w:r>
      <w:r w:rsidR="004020C1">
        <w:rPr>
          <w:rFonts w:ascii="Arial" w:hAnsi="Arial" w:cs="Arial"/>
          <w:lang w:eastAsia="pl-PL"/>
        </w:rPr>
        <w:t>.</w:t>
      </w:r>
      <w:r w:rsidR="00A430BE" w:rsidRPr="00EF7EA5">
        <w:rPr>
          <w:rFonts w:ascii="Arial" w:hAnsi="Arial" w:cs="Arial"/>
          <w:lang w:eastAsia="pl-PL"/>
        </w:rPr>
        <w:t>420</w:t>
      </w:r>
      <w:r w:rsidRPr="00EF7EA5">
        <w:rPr>
          <w:rFonts w:ascii="Arial" w:hAnsi="Arial" w:cs="Arial"/>
          <w:lang w:eastAsia="pl-PL"/>
        </w:rPr>
        <w:t xml:space="preserve"> zł, zaś limit wydatków majątkowych </w:t>
      </w:r>
      <w:r w:rsidR="00A430BE" w:rsidRPr="00EF7EA5">
        <w:rPr>
          <w:rFonts w:ascii="Arial" w:hAnsi="Arial" w:cs="Arial"/>
          <w:lang w:eastAsia="pl-PL"/>
        </w:rPr>
        <w:t>18</w:t>
      </w:r>
      <w:r w:rsidR="004020C1">
        <w:rPr>
          <w:rFonts w:ascii="Arial" w:hAnsi="Arial" w:cs="Arial"/>
          <w:lang w:eastAsia="pl-PL"/>
        </w:rPr>
        <w:t>.</w:t>
      </w:r>
      <w:r w:rsidR="00A430BE" w:rsidRPr="00EF7EA5">
        <w:rPr>
          <w:rFonts w:ascii="Arial" w:hAnsi="Arial" w:cs="Arial"/>
          <w:lang w:eastAsia="pl-PL"/>
        </w:rPr>
        <w:t>999</w:t>
      </w:r>
      <w:r w:rsidR="004020C1">
        <w:rPr>
          <w:rFonts w:ascii="Arial" w:hAnsi="Arial" w:cs="Arial"/>
          <w:lang w:eastAsia="pl-PL"/>
        </w:rPr>
        <w:t>.</w:t>
      </w:r>
      <w:r w:rsidR="00A430BE" w:rsidRPr="00EF7EA5">
        <w:rPr>
          <w:rFonts w:ascii="Arial" w:hAnsi="Arial" w:cs="Arial"/>
          <w:lang w:eastAsia="pl-PL"/>
        </w:rPr>
        <w:t xml:space="preserve">699 </w:t>
      </w:r>
      <w:r w:rsidRPr="00EF7EA5">
        <w:rPr>
          <w:rFonts w:ascii="Arial" w:hAnsi="Arial" w:cs="Arial"/>
          <w:lang w:eastAsia="pl-PL"/>
        </w:rPr>
        <w:t>zł</w:t>
      </w:r>
      <w:r w:rsidR="001F2722" w:rsidRPr="00EF7EA5">
        <w:rPr>
          <w:rFonts w:ascii="Arial" w:hAnsi="Arial" w:cs="Arial"/>
          <w:lang w:eastAsia="pl-PL"/>
        </w:rPr>
        <w:t>.</w:t>
      </w:r>
      <w:r w:rsidRPr="00EF7EA5">
        <w:rPr>
          <w:rFonts w:ascii="Arial" w:hAnsi="Arial" w:cs="Arial"/>
          <w:lang w:eastAsia="pl-PL"/>
        </w:rPr>
        <w:t xml:space="preserve"> Szczegółowy wykaz programów bieżących i majątkowych przedstawiony jest w załączniku „Wykaz przedsięwzięć do WPF”.</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r w:rsidRPr="00524024">
        <w:rPr>
          <w:rFonts w:ascii="Arial" w:hAnsi="Arial" w:cs="Arial"/>
          <w:lang w:eastAsia="pl-PL"/>
        </w:rPr>
        <w:t>1.2 Nie przewidziano do realizacji programów, projektów lub zadań związanych z umowami partnerstwa publiczno-prywatnego.</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524024">
        <w:rPr>
          <w:rFonts w:ascii="Arial" w:hAnsi="Arial" w:cs="Arial"/>
          <w:lang w:eastAsia="pl-PL"/>
        </w:rPr>
        <w:t xml:space="preserve">1.3 W ramach wskazanych programów, projektów lub zadań pozostałych, wykazano </w:t>
      </w:r>
      <w:r w:rsidR="00A430BE" w:rsidRPr="00524024">
        <w:rPr>
          <w:rFonts w:ascii="Arial" w:hAnsi="Arial" w:cs="Arial"/>
          <w:lang w:eastAsia="pl-PL"/>
        </w:rPr>
        <w:t>te, które</w:t>
      </w:r>
      <w:r w:rsidRPr="00524024">
        <w:rPr>
          <w:rFonts w:ascii="Arial" w:hAnsi="Arial" w:cs="Arial"/>
          <w:lang w:eastAsia="pl-PL"/>
        </w:rPr>
        <w:t xml:space="preserve"> są finansowane ze środków własnych. W 202</w:t>
      </w:r>
      <w:r w:rsidR="001F2722">
        <w:rPr>
          <w:rFonts w:ascii="Arial" w:hAnsi="Arial" w:cs="Arial"/>
          <w:lang w:eastAsia="pl-PL"/>
        </w:rPr>
        <w:t>1</w:t>
      </w:r>
      <w:r w:rsidRPr="00524024">
        <w:rPr>
          <w:rFonts w:ascii="Arial" w:hAnsi="Arial" w:cs="Arial"/>
          <w:lang w:eastAsia="pl-PL"/>
        </w:rPr>
        <w:t xml:space="preserve"> r. limit przedsięwzięć ogółem wynosi </w:t>
      </w:r>
      <w:r w:rsidRPr="00524024">
        <w:rPr>
          <w:rFonts w:ascii="Arial" w:hAnsi="Arial" w:cs="Arial"/>
          <w:lang w:eastAsia="pl-PL"/>
        </w:rPr>
        <w:br/>
      </w:r>
      <w:r w:rsidR="00460391">
        <w:rPr>
          <w:rFonts w:ascii="Arial" w:hAnsi="Arial" w:cs="Arial"/>
          <w:lang w:eastAsia="pl-PL"/>
        </w:rPr>
        <w:t>52.629.707</w:t>
      </w:r>
      <w:r w:rsidRPr="00B6580E">
        <w:rPr>
          <w:rFonts w:ascii="Arial" w:hAnsi="Arial" w:cs="Arial"/>
          <w:lang w:eastAsia="pl-PL"/>
        </w:rPr>
        <w:t xml:space="preserve"> zł</w:t>
      </w:r>
      <w:r w:rsidR="004035E9" w:rsidRPr="00B6580E">
        <w:rPr>
          <w:rFonts w:ascii="Arial" w:hAnsi="Arial" w:cs="Arial"/>
          <w:lang w:eastAsia="pl-PL"/>
        </w:rPr>
        <w:t>,</w:t>
      </w:r>
      <w:r w:rsidRPr="00B6580E">
        <w:rPr>
          <w:rFonts w:ascii="Arial" w:hAnsi="Arial" w:cs="Arial"/>
          <w:lang w:eastAsia="pl-PL"/>
        </w:rPr>
        <w:t xml:space="preserve"> z czego limit wydatków bieżących wynosi  </w:t>
      </w:r>
      <w:r w:rsidR="00460391">
        <w:rPr>
          <w:rFonts w:ascii="Arial" w:hAnsi="Arial" w:cs="Arial"/>
          <w:lang w:eastAsia="pl-PL"/>
        </w:rPr>
        <w:t>11.755.483</w:t>
      </w:r>
      <w:r w:rsidRPr="00B6580E">
        <w:rPr>
          <w:rFonts w:ascii="Arial" w:hAnsi="Arial" w:cs="Arial"/>
          <w:lang w:eastAsia="pl-PL"/>
        </w:rPr>
        <w:t xml:space="preserve"> z</w:t>
      </w:r>
      <w:r w:rsidR="001F2722" w:rsidRPr="00B6580E">
        <w:rPr>
          <w:rFonts w:ascii="Arial" w:hAnsi="Arial" w:cs="Arial"/>
          <w:lang w:eastAsia="pl-PL"/>
        </w:rPr>
        <w:t>ł</w:t>
      </w:r>
      <w:r w:rsidRPr="00B6580E">
        <w:rPr>
          <w:rFonts w:ascii="Arial" w:hAnsi="Arial" w:cs="Arial"/>
          <w:lang w:eastAsia="pl-PL"/>
        </w:rPr>
        <w:t xml:space="preserve">, zaś limit wydatków majątkowych </w:t>
      </w:r>
      <w:r w:rsidR="00EF7EA5" w:rsidRPr="00B6580E">
        <w:rPr>
          <w:rFonts w:ascii="Arial" w:hAnsi="Arial" w:cs="Arial"/>
          <w:lang w:eastAsia="pl-PL"/>
        </w:rPr>
        <w:t>40</w:t>
      </w:r>
      <w:r w:rsidR="00460391">
        <w:rPr>
          <w:rFonts w:ascii="Arial" w:hAnsi="Arial" w:cs="Arial"/>
          <w:lang w:eastAsia="pl-PL"/>
        </w:rPr>
        <w:t>.</w:t>
      </w:r>
      <w:r w:rsidR="00CB0BF4">
        <w:rPr>
          <w:rFonts w:ascii="Arial" w:hAnsi="Arial" w:cs="Arial"/>
          <w:lang w:eastAsia="pl-PL"/>
        </w:rPr>
        <w:t>874</w:t>
      </w:r>
      <w:r w:rsidR="00460391">
        <w:rPr>
          <w:rFonts w:ascii="Arial" w:hAnsi="Arial" w:cs="Arial"/>
          <w:lang w:eastAsia="pl-PL"/>
        </w:rPr>
        <w:t>.</w:t>
      </w:r>
      <w:r w:rsidR="00EF7EA5" w:rsidRPr="00B6580E">
        <w:rPr>
          <w:rFonts w:ascii="Arial" w:hAnsi="Arial" w:cs="Arial"/>
          <w:lang w:eastAsia="pl-PL"/>
        </w:rPr>
        <w:t>224</w:t>
      </w:r>
      <w:r w:rsidRPr="00B6580E">
        <w:rPr>
          <w:rFonts w:ascii="Arial" w:hAnsi="Arial" w:cs="Arial"/>
          <w:lang w:eastAsia="pl-PL"/>
        </w:rPr>
        <w:t xml:space="preserve"> zł. Szczegółowy wykaz programów bieżących i majątkowych</w:t>
      </w:r>
      <w:r w:rsidRPr="00524024">
        <w:rPr>
          <w:rFonts w:ascii="Arial" w:hAnsi="Arial" w:cs="Arial"/>
          <w:lang w:eastAsia="pl-PL"/>
        </w:rPr>
        <w:t xml:space="preserve"> przedstawiony jest w załączniku „Wykaz przedsięwzięć do WPF”.</w:t>
      </w:r>
    </w:p>
    <w:p w:rsidR="00524024" w:rsidRPr="00524024" w:rsidRDefault="00524024" w:rsidP="005240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hAnsi="Arial" w:cs="Arial"/>
          <w:lang w:eastAsia="pl-PL"/>
        </w:rPr>
      </w:pPr>
      <w:r w:rsidRPr="00524024">
        <w:rPr>
          <w:rFonts w:ascii="Arial" w:hAnsi="Arial" w:cs="Arial"/>
          <w:lang w:eastAsia="pl-PL"/>
        </w:rPr>
        <w:t xml:space="preserve">Jak wskazano powyżej Wieloletnia Prognoza Finansowa została sporządzona przy założeniu planowania dochodów na bezpiecznym poziomie możliwym do uzyskania. Wydatki głównie bieżące planowano przy założeniu utrzymania ich na stabilnym poziomie, z kontynuacją działań zmierzających do ich racjonalizacji. </w:t>
      </w:r>
    </w:p>
    <w:p w:rsidR="00524024" w:rsidRPr="00524024" w:rsidRDefault="00524024" w:rsidP="005240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Arial" w:hAnsi="Arial" w:cs="Arial"/>
          <w:lang w:eastAsia="pl-PL"/>
        </w:rPr>
      </w:pPr>
      <w:r w:rsidRPr="00524024">
        <w:rPr>
          <w:rFonts w:ascii="Arial" w:hAnsi="Arial" w:cs="Arial"/>
          <w:lang w:eastAsia="pl-PL"/>
        </w:rPr>
        <w:t>Szczegółowe informacje zawierają załączniki nr 1 i 2 do niniejszej uchwały oraz załączniki do Uchwały w sprawie uchwalenia budżetu Miasta Łomża na 202</w:t>
      </w:r>
      <w:r w:rsidR="001872B8">
        <w:rPr>
          <w:rFonts w:ascii="Arial" w:hAnsi="Arial" w:cs="Arial"/>
          <w:lang w:eastAsia="pl-PL"/>
        </w:rPr>
        <w:t>1</w:t>
      </w:r>
      <w:r w:rsidRPr="00524024">
        <w:rPr>
          <w:rFonts w:ascii="Arial" w:hAnsi="Arial" w:cs="Arial"/>
          <w:lang w:eastAsia="pl-PL"/>
        </w:rPr>
        <w:t xml:space="preserve"> rok.</w:t>
      </w:r>
    </w:p>
    <w:p w:rsidR="00524024" w:rsidRDefault="00524024" w:rsidP="00524024">
      <w:pPr>
        <w:widowControl w:val="0"/>
        <w:autoSpaceDE w:val="0"/>
        <w:autoSpaceDN w:val="0"/>
        <w:adjustRightInd w:val="0"/>
        <w:spacing w:after="0" w:line="240" w:lineRule="auto"/>
        <w:rPr>
          <w:rFonts w:ascii="Arial" w:hAnsi="Arial" w:cs="Arial"/>
          <w:lang w:eastAsia="pl-PL"/>
        </w:rPr>
      </w:pPr>
    </w:p>
    <w:sectPr w:rsidR="00524024" w:rsidSect="00DF2B8A">
      <w:pgSz w:w="11906" w:h="16838"/>
      <w:pgMar w:top="1417" w:right="1417" w:bottom="1417" w:left="1417"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04255"/>
    <w:multiLevelType w:val="hybridMultilevel"/>
    <w:tmpl w:val="F1F4C258"/>
    <w:lvl w:ilvl="0" w:tplc="44FE187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35"/>
    <w:rsid w:val="00000D66"/>
    <w:rsid w:val="00013DFE"/>
    <w:rsid w:val="00023FE7"/>
    <w:rsid w:val="00030A15"/>
    <w:rsid w:val="000310BF"/>
    <w:rsid w:val="00031A67"/>
    <w:rsid w:val="00032C00"/>
    <w:rsid w:val="00043FDA"/>
    <w:rsid w:val="00052A6F"/>
    <w:rsid w:val="00055E97"/>
    <w:rsid w:val="00066856"/>
    <w:rsid w:val="00071BBF"/>
    <w:rsid w:val="00071FF0"/>
    <w:rsid w:val="0008004E"/>
    <w:rsid w:val="000831B7"/>
    <w:rsid w:val="00083AA5"/>
    <w:rsid w:val="000919C1"/>
    <w:rsid w:val="00091ABA"/>
    <w:rsid w:val="00094B41"/>
    <w:rsid w:val="00095C79"/>
    <w:rsid w:val="000A2CC6"/>
    <w:rsid w:val="000A3D1D"/>
    <w:rsid w:val="000A6203"/>
    <w:rsid w:val="000C1B90"/>
    <w:rsid w:val="000D53BA"/>
    <w:rsid w:val="000D7E51"/>
    <w:rsid w:val="000E1C05"/>
    <w:rsid w:val="000F78EE"/>
    <w:rsid w:val="00106604"/>
    <w:rsid w:val="0011015A"/>
    <w:rsid w:val="001171E2"/>
    <w:rsid w:val="00117C3F"/>
    <w:rsid w:val="00123F90"/>
    <w:rsid w:val="00124AEC"/>
    <w:rsid w:val="0012511B"/>
    <w:rsid w:val="0014172E"/>
    <w:rsid w:val="00155F85"/>
    <w:rsid w:val="00162DFF"/>
    <w:rsid w:val="00174751"/>
    <w:rsid w:val="001872B8"/>
    <w:rsid w:val="00197095"/>
    <w:rsid w:val="001A480A"/>
    <w:rsid w:val="001B3520"/>
    <w:rsid w:val="001B5EAF"/>
    <w:rsid w:val="001D1596"/>
    <w:rsid w:val="001D2678"/>
    <w:rsid w:val="001F2722"/>
    <w:rsid w:val="001F436F"/>
    <w:rsid w:val="001F7DD5"/>
    <w:rsid w:val="00201A53"/>
    <w:rsid w:val="00210FF8"/>
    <w:rsid w:val="002145AD"/>
    <w:rsid w:val="00222556"/>
    <w:rsid w:val="00222F1F"/>
    <w:rsid w:val="00224BEE"/>
    <w:rsid w:val="00226C5F"/>
    <w:rsid w:val="00235734"/>
    <w:rsid w:val="002403B8"/>
    <w:rsid w:val="00244531"/>
    <w:rsid w:val="00247236"/>
    <w:rsid w:val="00261119"/>
    <w:rsid w:val="0026340B"/>
    <w:rsid w:val="002659B5"/>
    <w:rsid w:val="00270CB7"/>
    <w:rsid w:val="00272A6B"/>
    <w:rsid w:val="002863E8"/>
    <w:rsid w:val="002956A9"/>
    <w:rsid w:val="002976F6"/>
    <w:rsid w:val="002A44C4"/>
    <w:rsid w:val="002B3FAD"/>
    <w:rsid w:val="002C0BA3"/>
    <w:rsid w:val="002F15A2"/>
    <w:rsid w:val="002F59AC"/>
    <w:rsid w:val="00302A6B"/>
    <w:rsid w:val="00303DB1"/>
    <w:rsid w:val="00320354"/>
    <w:rsid w:val="00342CF4"/>
    <w:rsid w:val="00343DD4"/>
    <w:rsid w:val="0034428F"/>
    <w:rsid w:val="003500B2"/>
    <w:rsid w:val="003609F3"/>
    <w:rsid w:val="0039791F"/>
    <w:rsid w:val="003A42CD"/>
    <w:rsid w:val="003B40D0"/>
    <w:rsid w:val="003B4611"/>
    <w:rsid w:val="003C669D"/>
    <w:rsid w:val="003D370B"/>
    <w:rsid w:val="003D511C"/>
    <w:rsid w:val="004020C1"/>
    <w:rsid w:val="004035E9"/>
    <w:rsid w:val="00410E16"/>
    <w:rsid w:val="00425427"/>
    <w:rsid w:val="00431C9F"/>
    <w:rsid w:val="00434209"/>
    <w:rsid w:val="00447A84"/>
    <w:rsid w:val="00460391"/>
    <w:rsid w:val="0046552D"/>
    <w:rsid w:val="0047172E"/>
    <w:rsid w:val="0048329D"/>
    <w:rsid w:val="0049183A"/>
    <w:rsid w:val="00491E5E"/>
    <w:rsid w:val="004A7483"/>
    <w:rsid w:val="004B6235"/>
    <w:rsid w:val="004B7713"/>
    <w:rsid w:val="004C19D2"/>
    <w:rsid w:val="004C4506"/>
    <w:rsid w:val="004C5BA1"/>
    <w:rsid w:val="004C5DC3"/>
    <w:rsid w:val="004D31D9"/>
    <w:rsid w:val="004E79B7"/>
    <w:rsid w:val="0050639C"/>
    <w:rsid w:val="00512A13"/>
    <w:rsid w:val="005227E5"/>
    <w:rsid w:val="00524024"/>
    <w:rsid w:val="00562B15"/>
    <w:rsid w:val="00564E7F"/>
    <w:rsid w:val="005674A8"/>
    <w:rsid w:val="00571896"/>
    <w:rsid w:val="0057323D"/>
    <w:rsid w:val="00574DA9"/>
    <w:rsid w:val="0058079A"/>
    <w:rsid w:val="005860CC"/>
    <w:rsid w:val="005942FD"/>
    <w:rsid w:val="005A75E8"/>
    <w:rsid w:val="005B4254"/>
    <w:rsid w:val="005C1E14"/>
    <w:rsid w:val="005C52C0"/>
    <w:rsid w:val="005C7966"/>
    <w:rsid w:val="005E3AC8"/>
    <w:rsid w:val="005E440D"/>
    <w:rsid w:val="005F7078"/>
    <w:rsid w:val="0060422E"/>
    <w:rsid w:val="00624956"/>
    <w:rsid w:val="00626E80"/>
    <w:rsid w:val="00632DAB"/>
    <w:rsid w:val="00633ACA"/>
    <w:rsid w:val="0064162D"/>
    <w:rsid w:val="006428CB"/>
    <w:rsid w:val="006476D4"/>
    <w:rsid w:val="006513DF"/>
    <w:rsid w:val="006538CF"/>
    <w:rsid w:val="006552C1"/>
    <w:rsid w:val="00657E9A"/>
    <w:rsid w:val="006647A1"/>
    <w:rsid w:val="006867DB"/>
    <w:rsid w:val="006A3DE4"/>
    <w:rsid w:val="006B3CAF"/>
    <w:rsid w:val="006B41FE"/>
    <w:rsid w:val="006B7C05"/>
    <w:rsid w:val="006D4F30"/>
    <w:rsid w:val="006D713E"/>
    <w:rsid w:val="006E0B8A"/>
    <w:rsid w:val="006E23AA"/>
    <w:rsid w:val="006E5BA0"/>
    <w:rsid w:val="006F3A5C"/>
    <w:rsid w:val="006F3EF6"/>
    <w:rsid w:val="006F4DCE"/>
    <w:rsid w:val="006F7D35"/>
    <w:rsid w:val="006F7DB3"/>
    <w:rsid w:val="007014FA"/>
    <w:rsid w:val="007042E4"/>
    <w:rsid w:val="00710C77"/>
    <w:rsid w:val="007263E5"/>
    <w:rsid w:val="00726829"/>
    <w:rsid w:val="00727A89"/>
    <w:rsid w:val="00734214"/>
    <w:rsid w:val="00746320"/>
    <w:rsid w:val="0075663A"/>
    <w:rsid w:val="00774A3A"/>
    <w:rsid w:val="00775C34"/>
    <w:rsid w:val="00776E89"/>
    <w:rsid w:val="007872E2"/>
    <w:rsid w:val="007917EA"/>
    <w:rsid w:val="00797C70"/>
    <w:rsid w:val="007A4DA7"/>
    <w:rsid w:val="007A60E9"/>
    <w:rsid w:val="007D34B6"/>
    <w:rsid w:val="007F1AF5"/>
    <w:rsid w:val="00802972"/>
    <w:rsid w:val="008033D6"/>
    <w:rsid w:val="00811154"/>
    <w:rsid w:val="0081169D"/>
    <w:rsid w:val="00812D5D"/>
    <w:rsid w:val="0082569F"/>
    <w:rsid w:val="00831351"/>
    <w:rsid w:val="00842838"/>
    <w:rsid w:val="00844A60"/>
    <w:rsid w:val="00847190"/>
    <w:rsid w:val="0085071D"/>
    <w:rsid w:val="0086111A"/>
    <w:rsid w:val="00863F2B"/>
    <w:rsid w:val="00867EA8"/>
    <w:rsid w:val="00891D34"/>
    <w:rsid w:val="0089529B"/>
    <w:rsid w:val="00896E42"/>
    <w:rsid w:val="008A3369"/>
    <w:rsid w:val="008A4335"/>
    <w:rsid w:val="008A5323"/>
    <w:rsid w:val="008E234B"/>
    <w:rsid w:val="008F1072"/>
    <w:rsid w:val="008F14EE"/>
    <w:rsid w:val="0091282C"/>
    <w:rsid w:val="0091615B"/>
    <w:rsid w:val="0091771D"/>
    <w:rsid w:val="00917E82"/>
    <w:rsid w:val="00923522"/>
    <w:rsid w:val="00926279"/>
    <w:rsid w:val="009279B9"/>
    <w:rsid w:val="00952F0A"/>
    <w:rsid w:val="00957D6C"/>
    <w:rsid w:val="00964D4B"/>
    <w:rsid w:val="009654D5"/>
    <w:rsid w:val="00966AA3"/>
    <w:rsid w:val="0097021D"/>
    <w:rsid w:val="00970B1B"/>
    <w:rsid w:val="00991978"/>
    <w:rsid w:val="00993411"/>
    <w:rsid w:val="009B1C17"/>
    <w:rsid w:val="009C6CA8"/>
    <w:rsid w:val="009C6E05"/>
    <w:rsid w:val="009C7168"/>
    <w:rsid w:val="009D58DE"/>
    <w:rsid w:val="009D7873"/>
    <w:rsid w:val="009F2308"/>
    <w:rsid w:val="009F7F9E"/>
    <w:rsid w:val="00A0787B"/>
    <w:rsid w:val="00A1762C"/>
    <w:rsid w:val="00A203D5"/>
    <w:rsid w:val="00A41C40"/>
    <w:rsid w:val="00A430BE"/>
    <w:rsid w:val="00A46E75"/>
    <w:rsid w:val="00A51B67"/>
    <w:rsid w:val="00A67240"/>
    <w:rsid w:val="00AA12C3"/>
    <w:rsid w:val="00AB0E45"/>
    <w:rsid w:val="00AB7AE5"/>
    <w:rsid w:val="00AC7B99"/>
    <w:rsid w:val="00AD2B98"/>
    <w:rsid w:val="00AD53F7"/>
    <w:rsid w:val="00AE6ACD"/>
    <w:rsid w:val="00AF19F5"/>
    <w:rsid w:val="00AF3604"/>
    <w:rsid w:val="00AF5A3A"/>
    <w:rsid w:val="00B117F5"/>
    <w:rsid w:val="00B36A99"/>
    <w:rsid w:val="00B42500"/>
    <w:rsid w:val="00B43E88"/>
    <w:rsid w:val="00B64F5E"/>
    <w:rsid w:val="00B6580E"/>
    <w:rsid w:val="00B65A72"/>
    <w:rsid w:val="00B7302A"/>
    <w:rsid w:val="00B76C11"/>
    <w:rsid w:val="00B829CF"/>
    <w:rsid w:val="00BC6010"/>
    <w:rsid w:val="00BD438F"/>
    <w:rsid w:val="00BF1B44"/>
    <w:rsid w:val="00C04BE9"/>
    <w:rsid w:val="00C051AF"/>
    <w:rsid w:val="00C1287F"/>
    <w:rsid w:val="00C1599B"/>
    <w:rsid w:val="00C15F31"/>
    <w:rsid w:val="00C16736"/>
    <w:rsid w:val="00C2000D"/>
    <w:rsid w:val="00C2291C"/>
    <w:rsid w:val="00C32EAC"/>
    <w:rsid w:val="00C330E9"/>
    <w:rsid w:val="00C57BEF"/>
    <w:rsid w:val="00C93B7B"/>
    <w:rsid w:val="00C9774D"/>
    <w:rsid w:val="00C97D18"/>
    <w:rsid w:val="00CA6635"/>
    <w:rsid w:val="00CB0BF4"/>
    <w:rsid w:val="00CB19C7"/>
    <w:rsid w:val="00CD56B1"/>
    <w:rsid w:val="00CE17C6"/>
    <w:rsid w:val="00CF1526"/>
    <w:rsid w:val="00D00028"/>
    <w:rsid w:val="00D222A0"/>
    <w:rsid w:val="00D22EB7"/>
    <w:rsid w:val="00D359DA"/>
    <w:rsid w:val="00D51EBE"/>
    <w:rsid w:val="00D52532"/>
    <w:rsid w:val="00D5294D"/>
    <w:rsid w:val="00D53E82"/>
    <w:rsid w:val="00D66330"/>
    <w:rsid w:val="00D66C08"/>
    <w:rsid w:val="00D67191"/>
    <w:rsid w:val="00D87040"/>
    <w:rsid w:val="00D90C22"/>
    <w:rsid w:val="00DA1727"/>
    <w:rsid w:val="00DA69BF"/>
    <w:rsid w:val="00DC0CE6"/>
    <w:rsid w:val="00DC28E0"/>
    <w:rsid w:val="00DD4E60"/>
    <w:rsid w:val="00DD75C4"/>
    <w:rsid w:val="00DF064B"/>
    <w:rsid w:val="00DF2B8A"/>
    <w:rsid w:val="00E052F8"/>
    <w:rsid w:val="00E07B34"/>
    <w:rsid w:val="00E11986"/>
    <w:rsid w:val="00E33665"/>
    <w:rsid w:val="00E56F74"/>
    <w:rsid w:val="00E70799"/>
    <w:rsid w:val="00EB021F"/>
    <w:rsid w:val="00EB6B14"/>
    <w:rsid w:val="00ED22EA"/>
    <w:rsid w:val="00ED75AF"/>
    <w:rsid w:val="00EE1AC9"/>
    <w:rsid w:val="00EE22C5"/>
    <w:rsid w:val="00EF7EA5"/>
    <w:rsid w:val="00F046D0"/>
    <w:rsid w:val="00F0729C"/>
    <w:rsid w:val="00F1656B"/>
    <w:rsid w:val="00F203B3"/>
    <w:rsid w:val="00F2518F"/>
    <w:rsid w:val="00F272EF"/>
    <w:rsid w:val="00F31D48"/>
    <w:rsid w:val="00F341A4"/>
    <w:rsid w:val="00F4438E"/>
    <w:rsid w:val="00F520AE"/>
    <w:rsid w:val="00F71231"/>
    <w:rsid w:val="00F81FD3"/>
    <w:rsid w:val="00F90808"/>
    <w:rsid w:val="00FA3256"/>
    <w:rsid w:val="00FA3C8A"/>
    <w:rsid w:val="00FA73EE"/>
    <w:rsid w:val="00FB09FE"/>
    <w:rsid w:val="00FD17DE"/>
    <w:rsid w:val="00FE59F8"/>
    <w:rsid w:val="00FF26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C5E03-8541-411E-B687-58AD0987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23AA"/>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167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6736"/>
    <w:rPr>
      <w:rFonts w:ascii="Segoe UI" w:hAnsi="Segoe UI" w:cs="Segoe UI"/>
      <w:sz w:val="18"/>
      <w:szCs w:val="18"/>
      <w:lang w:eastAsia="en-US"/>
    </w:rPr>
  </w:style>
  <w:style w:type="character" w:styleId="Wyrnieniedelikatne">
    <w:name w:val="Subtle Emphasis"/>
    <w:basedOn w:val="Domylnaczcionkaakapitu"/>
    <w:uiPriority w:val="99"/>
    <w:qFormat/>
    <w:rsid w:val="000A3D1D"/>
    <w:rPr>
      <w:i/>
      <w:iCs/>
      <w:color w:val="404040" w:themeColor="text1" w:themeTint="BF"/>
    </w:rPr>
  </w:style>
  <w:style w:type="character" w:styleId="Uwydatnienie">
    <w:name w:val="Emphasis"/>
    <w:basedOn w:val="Domylnaczcionkaakapitu"/>
    <w:uiPriority w:val="20"/>
    <w:qFormat/>
    <w:rsid w:val="000A3D1D"/>
    <w:rPr>
      <w:i/>
      <w:iCs/>
    </w:rPr>
  </w:style>
  <w:style w:type="paragraph" w:styleId="Zwykytekst">
    <w:name w:val="Plain Text"/>
    <w:basedOn w:val="Normalny"/>
    <w:link w:val="ZwykytekstZnak"/>
    <w:uiPriority w:val="99"/>
    <w:unhideWhenUsed/>
    <w:rsid w:val="00A0787B"/>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A0787B"/>
    <w:rPr>
      <w:rFonts w:eastAsiaTheme="minorHAnsi" w:cstheme="minorBidi"/>
      <w:sz w:val="22"/>
      <w:szCs w:val="21"/>
      <w:lang w:eastAsia="en-US"/>
    </w:rPr>
  </w:style>
  <w:style w:type="paragraph" w:customStyle="1" w:styleId="Normal">
    <w:name w:val="[Normal]"/>
    <w:uiPriority w:val="99"/>
    <w:rsid w:val="00812D5D"/>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7545">
      <w:bodyDiv w:val="1"/>
      <w:marLeft w:val="0"/>
      <w:marRight w:val="0"/>
      <w:marTop w:val="0"/>
      <w:marBottom w:val="0"/>
      <w:divBdr>
        <w:top w:val="none" w:sz="0" w:space="0" w:color="auto"/>
        <w:left w:val="none" w:sz="0" w:space="0" w:color="auto"/>
        <w:bottom w:val="none" w:sz="0" w:space="0" w:color="auto"/>
        <w:right w:val="none" w:sz="0" w:space="0" w:color="auto"/>
      </w:divBdr>
    </w:div>
    <w:div w:id="171726045">
      <w:bodyDiv w:val="1"/>
      <w:marLeft w:val="0"/>
      <w:marRight w:val="0"/>
      <w:marTop w:val="0"/>
      <w:marBottom w:val="0"/>
      <w:divBdr>
        <w:top w:val="none" w:sz="0" w:space="0" w:color="auto"/>
        <w:left w:val="none" w:sz="0" w:space="0" w:color="auto"/>
        <w:bottom w:val="none" w:sz="0" w:space="0" w:color="auto"/>
        <w:right w:val="none" w:sz="0" w:space="0" w:color="auto"/>
      </w:divBdr>
    </w:div>
    <w:div w:id="192034499">
      <w:bodyDiv w:val="1"/>
      <w:marLeft w:val="0"/>
      <w:marRight w:val="0"/>
      <w:marTop w:val="0"/>
      <w:marBottom w:val="0"/>
      <w:divBdr>
        <w:top w:val="none" w:sz="0" w:space="0" w:color="auto"/>
        <w:left w:val="none" w:sz="0" w:space="0" w:color="auto"/>
        <w:bottom w:val="none" w:sz="0" w:space="0" w:color="auto"/>
        <w:right w:val="none" w:sz="0" w:space="0" w:color="auto"/>
      </w:divBdr>
    </w:div>
    <w:div w:id="245117179">
      <w:bodyDiv w:val="1"/>
      <w:marLeft w:val="0"/>
      <w:marRight w:val="0"/>
      <w:marTop w:val="0"/>
      <w:marBottom w:val="0"/>
      <w:divBdr>
        <w:top w:val="none" w:sz="0" w:space="0" w:color="auto"/>
        <w:left w:val="none" w:sz="0" w:space="0" w:color="auto"/>
        <w:bottom w:val="none" w:sz="0" w:space="0" w:color="auto"/>
        <w:right w:val="none" w:sz="0" w:space="0" w:color="auto"/>
      </w:divBdr>
    </w:div>
    <w:div w:id="259802390">
      <w:bodyDiv w:val="1"/>
      <w:marLeft w:val="0"/>
      <w:marRight w:val="0"/>
      <w:marTop w:val="0"/>
      <w:marBottom w:val="0"/>
      <w:divBdr>
        <w:top w:val="none" w:sz="0" w:space="0" w:color="auto"/>
        <w:left w:val="none" w:sz="0" w:space="0" w:color="auto"/>
        <w:bottom w:val="none" w:sz="0" w:space="0" w:color="auto"/>
        <w:right w:val="none" w:sz="0" w:space="0" w:color="auto"/>
      </w:divBdr>
    </w:div>
    <w:div w:id="285432159">
      <w:bodyDiv w:val="1"/>
      <w:marLeft w:val="0"/>
      <w:marRight w:val="0"/>
      <w:marTop w:val="0"/>
      <w:marBottom w:val="0"/>
      <w:divBdr>
        <w:top w:val="none" w:sz="0" w:space="0" w:color="auto"/>
        <w:left w:val="none" w:sz="0" w:space="0" w:color="auto"/>
        <w:bottom w:val="none" w:sz="0" w:space="0" w:color="auto"/>
        <w:right w:val="none" w:sz="0" w:space="0" w:color="auto"/>
      </w:divBdr>
    </w:div>
    <w:div w:id="297341666">
      <w:bodyDiv w:val="1"/>
      <w:marLeft w:val="0"/>
      <w:marRight w:val="0"/>
      <w:marTop w:val="0"/>
      <w:marBottom w:val="0"/>
      <w:divBdr>
        <w:top w:val="none" w:sz="0" w:space="0" w:color="auto"/>
        <w:left w:val="none" w:sz="0" w:space="0" w:color="auto"/>
        <w:bottom w:val="none" w:sz="0" w:space="0" w:color="auto"/>
        <w:right w:val="none" w:sz="0" w:space="0" w:color="auto"/>
      </w:divBdr>
    </w:div>
    <w:div w:id="300959035">
      <w:bodyDiv w:val="1"/>
      <w:marLeft w:val="0"/>
      <w:marRight w:val="0"/>
      <w:marTop w:val="0"/>
      <w:marBottom w:val="0"/>
      <w:divBdr>
        <w:top w:val="none" w:sz="0" w:space="0" w:color="auto"/>
        <w:left w:val="none" w:sz="0" w:space="0" w:color="auto"/>
        <w:bottom w:val="none" w:sz="0" w:space="0" w:color="auto"/>
        <w:right w:val="none" w:sz="0" w:space="0" w:color="auto"/>
      </w:divBdr>
    </w:div>
    <w:div w:id="304704376">
      <w:bodyDiv w:val="1"/>
      <w:marLeft w:val="0"/>
      <w:marRight w:val="0"/>
      <w:marTop w:val="0"/>
      <w:marBottom w:val="0"/>
      <w:divBdr>
        <w:top w:val="none" w:sz="0" w:space="0" w:color="auto"/>
        <w:left w:val="none" w:sz="0" w:space="0" w:color="auto"/>
        <w:bottom w:val="none" w:sz="0" w:space="0" w:color="auto"/>
        <w:right w:val="none" w:sz="0" w:space="0" w:color="auto"/>
      </w:divBdr>
    </w:div>
    <w:div w:id="321544090">
      <w:bodyDiv w:val="1"/>
      <w:marLeft w:val="0"/>
      <w:marRight w:val="0"/>
      <w:marTop w:val="0"/>
      <w:marBottom w:val="0"/>
      <w:divBdr>
        <w:top w:val="none" w:sz="0" w:space="0" w:color="auto"/>
        <w:left w:val="none" w:sz="0" w:space="0" w:color="auto"/>
        <w:bottom w:val="none" w:sz="0" w:space="0" w:color="auto"/>
        <w:right w:val="none" w:sz="0" w:space="0" w:color="auto"/>
      </w:divBdr>
    </w:div>
    <w:div w:id="344401803">
      <w:bodyDiv w:val="1"/>
      <w:marLeft w:val="0"/>
      <w:marRight w:val="0"/>
      <w:marTop w:val="0"/>
      <w:marBottom w:val="0"/>
      <w:divBdr>
        <w:top w:val="none" w:sz="0" w:space="0" w:color="auto"/>
        <w:left w:val="none" w:sz="0" w:space="0" w:color="auto"/>
        <w:bottom w:val="none" w:sz="0" w:space="0" w:color="auto"/>
        <w:right w:val="none" w:sz="0" w:space="0" w:color="auto"/>
      </w:divBdr>
    </w:div>
    <w:div w:id="397828147">
      <w:bodyDiv w:val="1"/>
      <w:marLeft w:val="0"/>
      <w:marRight w:val="0"/>
      <w:marTop w:val="0"/>
      <w:marBottom w:val="0"/>
      <w:divBdr>
        <w:top w:val="none" w:sz="0" w:space="0" w:color="auto"/>
        <w:left w:val="none" w:sz="0" w:space="0" w:color="auto"/>
        <w:bottom w:val="none" w:sz="0" w:space="0" w:color="auto"/>
        <w:right w:val="none" w:sz="0" w:space="0" w:color="auto"/>
      </w:divBdr>
    </w:div>
    <w:div w:id="419647294">
      <w:bodyDiv w:val="1"/>
      <w:marLeft w:val="0"/>
      <w:marRight w:val="0"/>
      <w:marTop w:val="0"/>
      <w:marBottom w:val="0"/>
      <w:divBdr>
        <w:top w:val="none" w:sz="0" w:space="0" w:color="auto"/>
        <w:left w:val="none" w:sz="0" w:space="0" w:color="auto"/>
        <w:bottom w:val="none" w:sz="0" w:space="0" w:color="auto"/>
        <w:right w:val="none" w:sz="0" w:space="0" w:color="auto"/>
      </w:divBdr>
    </w:div>
    <w:div w:id="504981139">
      <w:bodyDiv w:val="1"/>
      <w:marLeft w:val="0"/>
      <w:marRight w:val="0"/>
      <w:marTop w:val="0"/>
      <w:marBottom w:val="0"/>
      <w:divBdr>
        <w:top w:val="none" w:sz="0" w:space="0" w:color="auto"/>
        <w:left w:val="none" w:sz="0" w:space="0" w:color="auto"/>
        <w:bottom w:val="none" w:sz="0" w:space="0" w:color="auto"/>
        <w:right w:val="none" w:sz="0" w:space="0" w:color="auto"/>
      </w:divBdr>
    </w:div>
    <w:div w:id="529148089">
      <w:bodyDiv w:val="1"/>
      <w:marLeft w:val="0"/>
      <w:marRight w:val="0"/>
      <w:marTop w:val="0"/>
      <w:marBottom w:val="0"/>
      <w:divBdr>
        <w:top w:val="none" w:sz="0" w:space="0" w:color="auto"/>
        <w:left w:val="none" w:sz="0" w:space="0" w:color="auto"/>
        <w:bottom w:val="none" w:sz="0" w:space="0" w:color="auto"/>
        <w:right w:val="none" w:sz="0" w:space="0" w:color="auto"/>
      </w:divBdr>
    </w:div>
    <w:div w:id="534536943">
      <w:bodyDiv w:val="1"/>
      <w:marLeft w:val="0"/>
      <w:marRight w:val="0"/>
      <w:marTop w:val="0"/>
      <w:marBottom w:val="0"/>
      <w:divBdr>
        <w:top w:val="none" w:sz="0" w:space="0" w:color="auto"/>
        <w:left w:val="none" w:sz="0" w:space="0" w:color="auto"/>
        <w:bottom w:val="none" w:sz="0" w:space="0" w:color="auto"/>
        <w:right w:val="none" w:sz="0" w:space="0" w:color="auto"/>
      </w:divBdr>
    </w:div>
    <w:div w:id="603149512">
      <w:bodyDiv w:val="1"/>
      <w:marLeft w:val="0"/>
      <w:marRight w:val="0"/>
      <w:marTop w:val="0"/>
      <w:marBottom w:val="0"/>
      <w:divBdr>
        <w:top w:val="none" w:sz="0" w:space="0" w:color="auto"/>
        <w:left w:val="none" w:sz="0" w:space="0" w:color="auto"/>
        <w:bottom w:val="none" w:sz="0" w:space="0" w:color="auto"/>
        <w:right w:val="none" w:sz="0" w:space="0" w:color="auto"/>
      </w:divBdr>
    </w:div>
    <w:div w:id="633605279">
      <w:bodyDiv w:val="1"/>
      <w:marLeft w:val="0"/>
      <w:marRight w:val="0"/>
      <w:marTop w:val="0"/>
      <w:marBottom w:val="0"/>
      <w:divBdr>
        <w:top w:val="none" w:sz="0" w:space="0" w:color="auto"/>
        <w:left w:val="none" w:sz="0" w:space="0" w:color="auto"/>
        <w:bottom w:val="none" w:sz="0" w:space="0" w:color="auto"/>
        <w:right w:val="none" w:sz="0" w:space="0" w:color="auto"/>
      </w:divBdr>
    </w:div>
    <w:div w:id="639306418">
      <w:bodyDiv w:val="1"/>
      <w:marLeft w:val="0"/>
      <w:marRight w:val="0"/>
      <w:marTop w:val="0"/>
      <w:marBottom w:val="0"/>
      <w:divBdr>
        <w:top w:val="none" w:sz="0" w:space="0" w:color="auto"/>
        <w:left w:val="none" w:sz="0" w:space="0" w:color="auto"/>
        <w:bottom w:val="none" w:sz="0" w:space="0" w:color="auto"/>
        <w:right w:val="none" w:sz="0" w:space="0" w:color="auto"/>
      </w:divBdr>
    </w:div>
    <w:div w:id="648168986">
      <w:bodyDiv w:val="1"/>
      <w:marLeft w:val="0"/>
      <w:marRight w:val="0"/>
      <w:marTop w:val="0"/>
      <w:marBottom w:val="0"/>
      <w:divBdr>
        <w:top w:val="none" w:sz="0" w:space="0" w:color="auto"/>
        <w:left w:val="none" w:sz="0" w:space="0" w:color="auto"/>
        <w:bottom w:val="none" w:sz="0" w:space="0" w:color="auto"/>
        <w:right w:val="none" w:sz="0" w:space="0" w:color="auto"/>
      </w:divBdr>
    </w:div>
    <w:div w:id="683437565">
      <w:bodyDiv w:val="1"/>
      <w:marLeft w:val="0"/>
      <w:marRight w:val="0"/>
      <w:marTop w:val="0"/>
      <w:marBottom w:val="0"/>
      <w:divBdr>
        <w:top w:val="none" w:sz="0" w:space="0" w:color="auto"/>
        <w:left w:val="none" w:sz="0" w:space="0" w:color="auto"/>
        <w:bottom w:val="none" w:sz="0" w:space="0" w:color="auto"/>
        <w:right w:val="none" w:sz="0" w:space="0" w:color="auto"/>
      </w:divBdr>
    </w:div>
    <w:div w:id="699207091">
      <w:bodyDiv w:val="1"/>
      <w:marLeft w:val="0"/>
      <w:marRight w:val="0"/>
      <w:marTop w:val="0"/>
      <w:marBottom w:val="0"/>
      <w:divBdr>
        <w:top w:val="none" w:sz="0" w:space="0" w:color="auto"/>
        <w:left w:val="none" w:sz="0" w:space="0" w:color="auto"/>
        <w:bottom w:val="none" w:sz="0" w:space="0" w:color="auto"/>
        <w:right w:val="none" w:sz="0" w:space="0" w:color="auto"/>
      </w:divBdr>
    </w:div>
    <w:div w:id="766777790">
      <w:bodyDiv w:val="1"/>
      <w:marLeft w:val="0"/>
      <w:marRight w:val="0"/>
      <w:marTop w:val="0"/>
      <w:marBottom w:val="0"/>
      <w:divBdr>
        <w:top w:val="none" w:sz="0" w:space="0" w:color="auto"/>
        <w:left w:val="none" w:sz="0" w:space="0" w:color="auto"/>
        <w:bottom w:val="none" w:sz="0" w:space="0" w:color="auto"/>
        <w:right w:val="none" w:sz="0" w:space="0" w:color="auto"/>
      </w:divBdr>
    </w:div>
    <w:div w:id="791947143">
      <w:bodyDiv w:val="1"/>
      <w:marLeft w:val="0"/>
      <w:marRight w:val="0"/>
      <w:marTop w:val="0"/>
      <w:marBottom w:val="0"/>
      <w:divBdr>
        <w:top w:val="none" w:sz="0" w:space="0" w:color="auto"/>
        <w:left w:val="none" w:sz="0" w:space="0" w:color="auto"/>
        <w:bottom w:val="none" w:sz="0" w:space="0" w:color="auto"/>
        <w:right w:val="none" w:sz="0" w:space="0" w:color="auto"/>
      </w:divBdr>
    </w:div>
    <w:div w:id="802581216">
      <w:bodyDiv w:val="1"/>
      <w:marLeft w:val="0"/>
      <w:marRight w:val="0"/>
      <w:marTop w:val="0"/>
      <w:marBottom w:val="0"/>
      <w:divBdr>
        <w:top w:val="none" w:sz="0" w:space="0" w:color="auto"/>
        <w:left w:val="none" w:sz="0" w:space="0" w:color="auto"/>
        <w:bottom w:val="none" w:sz="0" w:space="0" w:color="auto"/>
        <w:right w:val="none" w:sz="0" w:space="0" w:color="auto"/>
      </w:divBdr>
    </w:div>
    <w:div w:id="806359631">
      <w:bodyDiv w:val="1"/>
      <w:marLeft w:val="0"/>
      <w:marRight w:val="0"/>
      <w:marTop w:val="0"/>
      <w:marBottom w:val="0"/>
      <w:divBdr>
        <w:top w:val="none" w:sz="0" w:space="0" w:color="auto"/>
        <w:left w:val="none" w:sz="0" w:space="0" w:color="auto"/>
        <w:bottom w:val="none" w:sz="0" w:space="0" w:color="auto"/>
        <w:right w:val="none" w:sz="0" w:space="0" w:color="auto"/>
      </w:divBdr>
    </w:div>
    <w:div w:id="848905966">
      <w:bodyDiv w:val="1"/>
      <w:marLeft w:val="0"/>
      <w:marRight w:val="0"/>
      <w:marTop w:val="0"/>
      <w:marBottom w:val="0"/>
      <w:divBdr>
        <w:top w:val="none" w:sz="0" w:space="0" w:color="auto"/>
        <w:left w:val="none" w:sz="0" w:space="0" w:color="auto"/>
        <w:bottom w:val="none" w:sz="0" w:space="0" w:color="auto"/>
        <w:right w:val="none" w:sz="0" w:space="0" w:color="auto"/>
      </w:divBdr>
    </w:div>
    <w:div w:id="863664612">
      <w:bodyDiv w:val="1"/>
      <w:marLeft w:val="0"/>
      <w:marRight w:val="0"/>
      <w:marTop w:val="0"/>
      <w:marBottom w:val="0"/>
      <w:divBdr>
        <w:top w:val="none" w:sz="0" w:space="0" w:color="auto"/>
        <w:left w:val="none" w:sz="0" w:space="0" w:color="auto"/>
        <w:bottom w:val="none" w:sz="0" w:space="0" w:color="auto"/>
        <w:right w:val="none" w:sz="0" w:space="0" w:color="auto"/>
      </w:divBdr>
    </w:div>
    <w:div w:id="899947983">
      <w:bodyDiv w:val="1"/>
      <w:marLeft w:val="0"/>
      <w:marRight w:val="0"/>
      <w:marTop w:val="0"/>
      <w:marBottom w:val="0"/>
      <w:divBdr>
        <w:top w:val="none" w:sz="0" w:space="0" w:color="auto"/>
        <w:left w:val="none" w:sz="0" w:space="0" w:color="auto"/>
        <w:bottom w:val="none" w:sz="0" w:space="0" w:color="auto"/>
        <w:right w:val="none" w:sz="0" w:space="0" w:color="auto"/>
      </w:divBdr>
    </w:div>
    <w:div w:id="907770175">
      <w:bodyDiv w:val="1"/>
      <w:marLeft w:val="0"/>
      <w:marRight w:val="0"/>
      <w:marTop w:val="0"/>
      <w:marBottom w:val="0"/>
      <w:divBdr>
        <w:top w:val="none" w:sz="0" w:space="0" w:color="auto"/>
        <w:left w:val="none" w:sz="0" w:space="0" w:color="auto"/>
        <w:bottom w:val="none" w:sz="0" w:space="0" w:color="auto"/>
        <w:right w:val="none" w:sz="0" w:space="0" w:color="auto"/>
      </w:divBdr>
    </w:div>
    <w:div w:id="939491302">
      <w:bodyDiv w:val="1"/>
      <w:marLeft w:val="0"/>
      <w:marRight w:val="0"/>
      <w:marTop w:val="0"/>
      <w:marBottom w:val="0"/>
      <w:divBdr>
        <w:top w:val="none" w:sz="0" w:space="0" w:color="auto"/>
        <w:left w:val="none" w:sz="0" w:space="0" w:color="auto"/>
        <w:bottom w:val="none" w:sz="0" w:space="0" w:color="auto"/>
        <w:right w:val="none" w:sz="0" w:space="0" w:color="auto"/>
      </w:divBdr>
    </w:div>
    <w:div w:id="948580922">
      <w:bodyDiv w:val="1"/>
      <w:marLeft w:val="0"/>
      <w:marRight w:val="0"/>
      <w:marTop w:val="0"/>
      <w:marBottom w:val="0"/>
      <w:divBdr>
        <w:top w:val="none" w:sz="0" w:space="0" w:color="auto"/>
        <w:left w:val="none" w:sz="0" w:space="0" w:color="auto"/>
        <w:bottom w:val="none" w:sz="0" w:space="0" w:color="auto"/>
        <w:right w:val="none" w:sz="0" w:space="0" w:color="auto"/>
      </w:divBdr>
    </w:div>
    <w:div w:id="949898142">
      <w:bodyDiv w:val="1"/>
      <w:marLeft w:val="0"/>
      <w:marRight w:val="0"/>
      <w:marTop w:val="0"/>
      <w:marBottom w:val="0"/>
      <w:divBdr>
        <w:top w:val="none" w:sz="0" w:space="0" w:color="auto"/>
        <w:left w:val="none" w:sz="0" w:space="0" w:color="auto"/>
        <w:bottom w:val="none" w:sz="0" w:space="0" w:color="auto"/>
        <w:right w:val="none" w:sz="0" w:space="0" w:color="auto"/>
      </w:divBdr>
    </w:div>
    <w:div w:id="990208328">
      <w:bodyDiv w:val="1"/>
      <w:marLeft w:val="0"/>
      <w:marRight w:val="0"/>
      <w:marTop w:val="0"/>
      <w:marBottom w:val="0"/>
      <w:divBdr>
        <w:top w:val="none" w:sz="0" w:space="0" w:color="auto"/>
        <w:left w:val="none" w:sz="0" w:space="0" w:color="auto"/>
        <w:bottom w:val="none" w:sz="0" w:space="0" w:color="auto"/>
        <w:right w:val="none" w:sz="0" w:space="0" w:color="auto"/>
      </w:divBdr>
    </w:div>
    <w:div w:id="1010176776">
      <w:bodyDiv w:val="1"/>
      <w:marLeft w:val="0"/>
      <w:marRight w:val="0"/>
      <w:marTop w:val="0"/>
      <w:marBottom w:val="0"/>
      <w:divBdr>
        <w:top w:val="none" w:sz="0" w:space="0" w:color="auto"/>
        <w:left w:val="none" w:sz="0" w:space="0" w:color="auto"/>
        <w:bottom w:val="none" w:sz="0" w:space="0" w:color="auto"/>
        <w:right w:val="none" w:sz="0" w:space="0" w:color="auto"/>
      </w:divBdr>
    </w:div>
    <w:div w:id="1061635233">
      <w:bodyDiv w:val="1"/>
      <w:marLeft w:val="0"/>
      <w:marRight w:val="0"/>
      <w:marTop w:val="0"/>
      <w:marBottom w:val="0"/>
      <w:divBdr>
        <w:top w:val="none" w:sz="0" w:space="0" w:color="auto"/>
        <w:left w:val="none" w:sz="0" w:space="0" w:color="auto"/>
        <w:bottom w:val="none" w:sz="0" w:space="0" w:color="auto"/>
        <w:right w:val="none" w:sz="0" w:space="0" w:color="auto"/>
      </w:divBdr>
    </w:div>
    <w:div w:id="1095521048">
      <w:bodyDiv w:val="1"/>
      <w:marLeft w:val="0"/>
      <w:marRight w:val="0"/>
      <w:marTop w:val="0"/>
      <w:marBottom w:val="0"/>
      <w:divBdr>
        <w:top w:val="none" w:sz="0" w:space="0" w:color="auto"/>
        <w:left w:val="none" w:sz="0" w:space="0" w:color="auto"/>
        <w:bottom w:val="none" w:sz="0" w:space="0" w:color="auto"/>
        <w:right w:val="none" w:sz="0" w:space="0" w:color="auto"/>
      </w:divBdr>
    </w:div>
    <w:div w:id="1130124753">
      <w:bodyDiv w:val="1"/>
      <w:marLeft w:val="0"/>
      <w:marRight w:val="0"/>
      <w:marTop w:val="0"/>
      <w:marBottom w:val="0"/>
      <w:divBdr>
        <w:top w:val="none" w:sz="0" w:space="0" w:color="auto"/>
        <w:left w:val="none" w:sz="0" w:space="0" w:color="auto"/>
        <w:bottom w:val="none" w:sz="0" w:space="0" w:color="auto"/>
        <w:right w:val="none" w:sz="0" w:space="0" w:color="auto"/>
      </w:divBdr>
    </w:div>
    <w:div w:id="1213077063">
      <w:bodyDiv w:val="1"/>
      <w:marLeft w:val="0"/>
      <w:marRight w:val="0"/>
      <w:marTop w:val="0"/>
      <w:marBottom w:val="0"/>
      <w:divBdr>
        <w:top w:val="none" w:sz="0" w:space="0" w:color="auto"/>
        <w:left w:val="none" w:sz="0" w:space="0" w:color="auto"/>
        <w:bottom w:val="none" w:sz="0" w:space="0" w:color="auto"/>
        <w:right w:val="none" w:sz="0" w:space="0" w:color="auto"/>
      </w:divBdr>
    </w:div>
    <w:div w:id="1285767064">
      <w:bodyDiv w:val="1"/>
      <w:marLeft w:val="0"/>
      <w:marRight w:val="0"/>
      <w:marTop w:val="0"/>
      <w:marBottom w:val="0"/>
      <w:divBdr>
        <w:top w:val="none" w:sz="0" w:space="0" w:color="auto"/>
        <w:left w:val="none" w:sz="0" w:space="0" w:color="auto"/>
        <w:bottom w:val="none" w:sz="0" w:space="0" w:color="auto"/>
        <w:right w:val="none" w:sz="0" w:space="0" w:color="auto"/>
      </w:divBdr>
    </w:div>
    <w:div w:id="1292705247">
      <w:bodyDiv w:val="1"/>
      <w:marLeft w:val="0"/>
      <w:marRight w:val="0"/>
      <w:marTop w:val="0"/>
      <w:marBottom w:val="0"/>
      <w:divBdr>
        <w:top w:val="none" w:sz="0" w:space="0" w:color="auto"/>
        <w:left w:val="none" w:sz="0" w:space="0" w:color="auto"/>
        <w:bottom w:val="none" w:sz="0" w:space="0" w:color="auto"/>
        <w:right w:val="none" w:sz="0" w:space="0" w:color="auto"/>
      </w:divBdr>
    </w:div>
    <w:div w:id="1352100256">
      <w:bodyDiv w:val="1"/>
      <w:marLeft w:val="0"/>
      <w:marRight w:val="0"/>
      <w:marTop w:val="0"/>
      <w:marBottom w:val="0"/>
      <w:divBdr>
        <w:top w:val="none" w:sz="0" w:space="0" w:color="auto"/>
        <w:left w:val="none" w:sz="0" w:space="0" w:color="auto"/>
        <w:bottom w:val="none" w:sz="0" w:space="0" w:color="auto"/>
        <w:right w:val="none" w:sz="0" w:space="0" w:color="auto"/>
      </w:divBdr>
    </w:div>
    <w:div w:id="1363705073">
      <w:bodyDiv w:val="1"/>
      <w:marLeft w:val="0"/>
      <w:marRight w:val="0"/>
      <w:marTop w:val="0"/>
      <w:marBottom w:val="0"/>
      <w:divBdr>
        <w:top w:val="none" w:sz="0" w:space="0" w:color="auto"/>
        <w:left w:val="none" w:sz="0" w:space="0" w:color="auto"/>
        <w:bottom w:val="none" w:sz="0" w:space="0" w:color="auto"/>
        <w:right w:val="none" w:sz="0" w:space="0" w:color="auto"/>
      </w:divBdr>
    </w:div>
    <w:div w:id="1462571690">
      <w:bodyDiv w:val="1"/>
      <w:marLeft w:val="0"/>
      <w:marRight w:val="0"/>
      <w:marTop w:val="0"/>
      <w:marBottom w:val="0"/>
      <w:divBdr>
        <w:top w:val="none" w:sz="0" w:space="0" w:color="auto"/>
        <w:left w:val="none" w:sz="0" w:space="0" w:color="auto"/>
        <w:bottom w:val="none" w:sz="0" w:space="0" w:color="auto"/>
        <w:right w:val="none" w:sz="0" w:space="0" w:color="auto"/>
      </w:divBdr>
    </w:div>
    <w:div w:id="1478647044">
      <w:bodyDiv w:val="1"/>
      <w:marLeft w:val="0"/>
      <w:marRight w:val="0"/>
      <w:marTop w:val="0"/>
      <w:marBottom w:val="0"/>
      <w:divBdr>
        <w:top w:val="none" w:sz="0" w:space="0" w:color="auto"/>
        <w:left w:val="none" w:sz="0" w:space="0" w:color="auto"/>
        <w:bottom w:val="none" w:sz="0" w:space="0" w:color="auto"/>
        <w:right w:val="none" w:sz="0" w:space="0" w:color="auto"/>
      </w:divBdr>
    </w:div>
    <w:div w:id="1484732315">
      <w:bodyDiv w:val="1"/>
      <w:marLeft w:val="0"/>
      <w:marRight w:val="0"/>
      <w:marTop w:val="0"/>
      <w:marBottom w:val="0"/>
      <w:divBdr>
        <w:top w:val="none" w:sz="0" w:space="0" w:color="auto"/>
        <w:left w:val="none" w:sz="0" w:space="0" w:color="auto"/>
        <w:bottom w:val="none" w:sz="0" w:space="0" w:color="auto"/>
        <w:right w:val="none" w:sz="0" w:space="0" w:color="auto"/>
      </w:divBdr>
    </w:div>
    <w:div w:id="1518692173">
      <w:bodyDiv w:val="1"/>
      <w:marLeft w:val="0"/>
      <w:marRight w:val="0"/>
      <w:marTop w:val="0"/>
      <w:marBottom w:val="0"/>
      <w:divBdr>
        <w:top w:val="none" w:sz="0" w:space="0" w:color="auto"/>
        <w:left w:val="none" w:sz="0" w:space="0" w:color="auto"/>
        <w:bottom w:val="none" w:sz="0" w:space="0" w:color="auto"/>
        <w:right w:val="none" w:sz="0" w:space="0" w:color="auto"/>
      </w:divBdr>
    </w:div>
    <w:div w:id="1543900649">
      <w:bodyDiv w:val="1"/>
      <w:marLeft w:val="0"/>
      <w:marRight w:val="0"/>
      <w:marTop w:val="0"/>
      <w:marBottom w:val="0"/>
      <w:divBdr>
        <w:top w:val="none" w:sz="0" w:space="0" w:color="auto"/>
        <w:left w:val="none" w:sz="0" w:space="0" w:color="auto"/>
        <w:bottom w:val="none" w:sz="0" w:space="0" w:color="auto"/>
        <w:right w:val="none" w:sz="0" w:space="0" w:color="auto"/>
      </w:divBdr>
    </w:div>
    <w:div w:id="1558474537">
      <w:bodyDiv w:val="1"/>
      <w:marLeft w:val="0"/>
      <w:marRight w:val="0"/>
      <w:marTop w:val="0"/>
      <w:marBottom w:val="0"/>
      <w:divBdr>
        <w:top w:val="none" w:sz="0" w:space="0" w:color="auto"/>
        <w:left w:val="none" w:sz="0" w:space="0" w:color="auto"/>
        <w:bottom w:val="none" w:sz="0" w:space="0" w:color="auto"/>
        <w:right w:val="none" w:sz="0" w:space="0" w:color="auto"/>
      </w:divBdr>
    </w:div>
    <w:div w:id="1567259439">
      <w:bodyDiv w:val="1"/>
      <w:marLeft w:val="0"/>
      <w:marRight w:val="0"/>
      <w:marTop w:val="0"/>
      <w:marBottom w:val="0"/>
      <w:divBdr>
        <w:top w:val="none" w:sz="0" w:space="0" w:color="auto"/>
        <w:left w:val="none" w:sz="0" w:space="0" w:color="auto"/>
        <w:bottom w:val="none" w:sz="0" w:space="0" w:color="auto"/>
        <w:right w:val="none" w:sz="0" w:space="0" w:color="auto"/>
      </w:divBdr>
    </w:div>
    <w:div w:id="1571577800">
      <w:bodyDiv w:val="1"/>
      <w:marLeft w:val="0"/>
      <w:marRight w:val="0"/>
      <w:marTop w:val="0"/>
      <w:marBottom w:val="0"/>
      <w:divBdr>
        <w:top w:val="none" w:sz="0" w:space="0" w:color="auto"/>
        <w:left w:val="none" w:sz="0" w:space="0" w:color="auto"/>
        <w:bottom w:val="none" w:sz="0" w:space="0" w:color="auto"/>
        <w:right w:val="none" w:sz="0" w:space="0" w:color="auto"/>
      </w:divBdr>
    </w:div>
    <w:div w:id="1587379141">
      <w:bodyDiv w:val="1"/>
      <w:marLeft w:val="0"/>
      <w:marRight w:val="0"/>
      <w:marTop w:val="0"/>
      <w:marBottom w:val="0"/>
      <w:divBdr>
        <w:top w:val="none" w:sz="0" w:space="0" w:color="auto"/>
        <w:left w:val="none" w:sz="0" w:space="0" w:color="auto"/>
        <w:bottom w:val="none" w:sz="0" w:space="0" w:color="auto"/>
        <w:right w:val="none" w:sz="0" w:space="0" w:color="auto"/>
      </w:divBdr>
    </w:div>
    <w:div w:id="1599948358">
      <w:bodyDiv w:val="1"/>
      <w:marLeft w:val="0"/>
      <w:marRight w:val="0"/>
      <w:marTop w:val="0"/>
      <w:marBottom w:val="0"/>
      <w:divBdr>
        <w:top w:val="none" w:sz="0" w:space="0" w:color="auto"/>
        <w:left w:val="none" w:sz="0" w:space="0" w:color="auto"/>
        <w:bottom w:val="none" w:sz="0" w:space="0" w:color="auto"/>
        <w:right w:val="none" w:sz="0" w:space="0" w:color="auto"/>
      </w:divBdr>
    </w:div>
    <w:div w:id="1633319194">
      <w:bodyDiv w:val="1"/>
      <w:marLeft w:val="0"/>
      <w:marRight w:val="0"/>
      <w:marTop w:val="0"/>
      <w:marBottom w:val="0"/>
      <w:divBdr>
        <w:top w:val="none" w:sz="0" w:space="0" w:color="auto"/>
        <w:left w:val="none" w:sz="0" w:space="0" w:color="auto"/>
        <w:bottom w:val="none" w:sz="0" w:space="0" w:color="auto"/>
        <w:right w:val="none" w:sz="0" w:space="0" w:color="auto"/>
      </w:divBdr>
    </w:div>
    <w:div w:id="1648120742">
      <w:bodyDiv w:val="1"/>
      <w:marLeft w:val="0"/>
      <w:marRight w:val="0"/>
      <w:marTop w:val="0"/>
      <w:marBottom w:val="0"/>
      <w:divBdr>
        <w:top w:val="none" w:sz="0" w:space="0" w:color="auto"/>
        <w:left w:val="none" w:sz="0" w:space="0" w:color="auto"/>
        <w:bottom w:val="none" w:sz="0" w:space="0" w:color="auto"/>
        <w:right w:val="none" w:sz="0" w:space="0" w:color="auto"/>
      </w:divBdr>
    </w:div>
    <w:div w:id="1650594350">
      <w:bodyDiv w:val="1"/>
      <w:marLeft w:val="0"/>
      <w:marRight w:val="0"/>
      <w:marTop w:val="0"/>
      <w:marBottom w:val="0"/>
      <w:divBdr>
        <w:top w:val="none" w:sz="0" w:space="0" w:color="auto"/>
        <w:left w:val="none" w:sz="0" w:space="0" w:color="auto"/>
        <w:bottom w:val="none" w:sz="0" w:space="0" w:color="auto"/>
        <w:right w:val="none" w:sz="0" w:space="0" w:color="auto"/>
      </w:divBdr>
    </w:div>
    <w:div w:id="1660887848">
      <w:bodyDiv w:val="1"/>
      <w:marLeft w:val="0"/>
      <w:marRight w:val="0"/>
      <w:marTop w:val="0"/>
      <w:marBottom w:val="0"/>
      <w:divBdr>
        <w:top w:val="none" w:sz="0" w:space="0" w:color="auto"/>
        <w:left w:val="none" w:sz="0" w:space="0" w:color="auto"/>
        <w:bottom w:val="none" w:sz="0" w:space="0" w:color="auto"/>
        <w:right w:val="none" w:sz="0" w:space="0" w:color="auto"/>
      </w:divBdr>
    </w:div>
    <w:div w:id="1700466092">
      <w:bodyDiv w:val="1"/>
      <w:marLeft w:val="0"/>
      <w:marRight w:val="0"/>
      <w:marTop w:val="0"/>
      <w:marBottom w:val="0"/>
      <w:divBdr>
        <w:top w:val="none" w:sz="0" w:space="0" w:color="auto"/>
        <w:left w:val="none" w:sz="0" w:space="0" w:color="auto"/>
        <w:bottom w:val="none" w:sz="0" w:space="0" w:color="auto"/>
        <w:right w:val="none" w:sz="0" w:space="0" w:color="auto"/>
      </w:divBdr>
    </w:div>
    <w:div w:id="1741051823">
      <w:bodyDiv w:val="1"/>
      <w:marLeft w:val="0"/>
      <w:marRight w:val="0"/>
      <w:marTop w:val="0"/>
      <w:marBottom w:val="0"/>
      <w:divBdr>
        <w:top w:val="none" w:sz="0" w:space="0" w:color="auto"/>
        <w:left w:val="none" w:sz="0" w:space="0" w:color="auto"/>
        <w:bottom w:val="none" w:sz="0" w:space="0" w:color="auto"/>
        <w:right w:val="none" w:sz="0" w:space="0" w:color="auto"/>
      </w:divBdr>
    </w:div>
    <w:div w:id="1775514977">
      <w:bodyDiv w:val="1"/>
      <w:marLeft w:val="0"/>
      <w:marRight w:val="0"/>
      <w:marTop w:val="0"/>
      <w:marBottom w:val="0"/>
      <w:divBdr>
        <w:top w:val="none" w:sz="0" w:space="0" w:color="auto"/>
        <w:left w:val="none" w:sz="0" w:space="0" w:color="auto"/>
        <w:bottom w:val="none" w:sz="0" w:space="0" w:color="auto"/>
        <w:right w:val="none" w:sz="0" w:space="0" w:color="auto"/>
      </w:divBdr>
    </w:div>
    <w:div w:id="1797063374">
      <w:bodyDiv w:val="1"/>
      <w:marLeft w:val="0"/>
      <w:marRight w:val="0"/>
      <w:marTop w:val="0"/>
      <w:marBottom w:val="0"/>
      <w:divBdr>
        <w:top w:val="none" w:sz="0" w:space="0" w:color="auto"/>
        <w:left w:val="none" w:sz="0" w:space="0" w:color="auto"/>
        <w:bottom w:val="none" w:sz="0" w:space="0" w:color="auto"/>
        <w:right w:val="none" w:sz="0" w:space="0" w:color="auto"/>
      </w:divBdr>
    </w:div>
    <w:div w:id="1824882496">
      <w:bodyDiv w:val="1"/>
      <w:marLeft w:val="0"/>
      <w:marRight w:val="0"/>
      <w:marTop w:val="0"/>
      <w:marBottom w:val="0"/>
      <w:divBdr>
        <w:top w:val="none" w:sz="0" w:space="0" w:color="auto"/>
        <w:left w:val="none" w:sz="0" w:space="0" w:color="auto"/>
        <w:bottom w:val="none" w:sz="0" w:space="0" w:color="auto"/>
        <w:right w:val="none" w:sz="0" w:space="0" w:color="auto"/>
      </w:divBdr>
    </w:div>
    <w:div w:id="1829511981">
      <w:bodyDiv w:val="1"/>
      <w:marLeft w:val="0"/>
      <w:marRight w:val="0"/>
      <w:marTop w:val="0"/>
      <w:marBottom w:val="0"/>
      <w:divBdr>
        <w:top w:val="none" w:sz="0" w:space="0" w:color="auto"/>
        <w:left w:val="none" w:sz="0" w:space="0" w:color="auto"/>
        <w:bottom w:val="none" w:sz="0" w:space="0" w:color="auto"/>
        <w:right w:val="none" w:sz="0" w:space="0" w:color="auto"/>
      </w:divBdr>
    </w:div>
    <w:div w:id="1838108345">
      <w:bodyDiv w:val="1"/>
      <w:marLeft w:val="0"/>
      <w:marRight w:val="0"/>
      <w:marTop w:val="0"/>
      <w:marBottom w:val="0"/>
      <w:divBdr>
        <w:top w:val="none" w:sz="0" w:space="0" w:color="auto"/>
        <w:left w:val="none" w:sz="0" w:space="0" w:color="auto"/>
        <w:bottom w:val="none" w:sz="0" w:space="0" w:color="auto"/>
        <w:right w:val="none" w:sz="0" w:space="0" w:color="auto"/>
      </w:divBdr>
    </w:div>
    <w:div w:id="1838812232">
      <w:bodyDiv w:val="1"/>
      <w:marLeft w:val="0"/>
      <w:marRight w:val="0"/>
      <w:marTop w:val="0"/>
      <w:marBottom w:val="0"/>
      <w:divBdr>
        <w:top w:val="none" w:sz="0" w:space="0" w:color="auto"/>
        <w:left w:val="none" w:sz="0" w:space="0" w:color="auto"/>
        <w:bottom w:val="none" w:sz="0" w:space="0" w:color="auto"/>
        <w:right w:val="none" w:sz="0" w:space="0" w:color="auto"/>
      </w:divBdr>
    </w:div>
    <w:div w:id="1845127367">
      <w:bodyDiv w:val="1"/>
      <w:marLeft w:val="0"/>
      <w:marRight w:val="0"/>
      <w:marTop w:val="0"/>
      <w:marBottom w:val="0"/>
      <w:divBdr>
        <w:top w:val="none" w:sz="0" w:space="0" w:color="auto"/>
        <w:left w:val="none" w:sz="0" w:space="0" w:color="auto"/>
        <w:bottom w:val="none" w:sz="0" w:space="0" w:color="auto"/>
        <w:right w:val="none" w:sz="0" w:space="0" w:color="auto"/>
      </w:divBdr>
    </w:div>
    <w:div w:id="1898124488">
      <w:bodyDiv w:val="1"/>
      <w:marLeft w:val="0"/>
      <w:marRight w:val="0"/>
      <w:marTop w:val="0"/>
      <w:marBottom w:val="0"/>
      <w:divBdr>
        <w:top w:val="none" w:sz="0" w:space="0" w:color="auto"/>
        <w:left w:val="none" w:sz="0" w:space="0" w:color="auto"/>
        <w:bottom w:val="none" w:sz="0" w:space="0" w:color="auto"/>
        <w:right w:val="none" w:sz="0" w:space="0" w:color="auto"/>
      </w:divBdr>
    </w:div>
    <w:div w:id="1898516636">
      <w:bodyDiv w:val="1"/>
      <w:marLeft w:val="0"/>
      <w:marRight w:val="0"/>
      <w:marTop w:val="0"/>
      <w:marBottom w:val="0"/>
      <w:divBdr>
        <w:top w:val="none" w:sz="0" w:space="0" w:color="auto"/>
        <w:left w:val="none" w:sz="0" w:space="0" w:color="auto"/>
        <w:bottom w:val="none" w:sz="0" w:space="0" w:color="auto"/>
        <w:right w:val="none" w:sz="0" w:space="0" w:color="auto"/>
      </w:divBdr>
    </w:div>
    <w:div w:id="1901944415">
      <w:bodyDiv w:val="1"/>
      <w:marLeft w:val="0"/>
      <w:marRight w:val="0"/>
      <w:marTop w:val="0"/>
      <w:marBottom w:val="0"/>
      <w:divBdr>
        <w:top w:val="none" w:sz="0" w:space="0" w:color="auto"/>
        <w:left w:val="none" w:sz="0" w:space="0" w:color="auto"/>
        <w:bottom w:val="none" w:sz="0" w:space="0" w:color="auto"/>
        <w:right w:val="none" w:sz="0" w:space="0" w:color="auto"/>
      </w:divBdr>
    </w:div>
    <w:div w:id="1907033856">
      <w:bodyDiv w:val="1"/>
      <w:marLeft w:val="0"/>
      <w:marRight w:val="0"/>
      <w:marTop w:val="0"/>
      <w:marBottom w:val="0"/>
      <w:divBdr>
        <w:top w:val="none" w:sz="0" w:space="0" w:color="auto"/>
        <w:left w:val="none" w:sz="0" w:space="0" w:color="auto"/>
        <w:bottom w:val="none" w:sz="0" w:space="0" w:color="auto"/>
        <w:right w:val="none" w:sz="0" w:space="0" w:color="auto"/>
      </w:divBdr>
    </w:div>
    <w:div w:id="1954365412">
      <w:bodyDiv w:val="1"/>
      <w:marLeft w:val="0"/>
      <w:marRight w:val="0"/>
      <w:marTop w:val="0"/>
      <w:marBottom w:val="0"/>
      <w:divBdr>
        <w:top w:val="none" w:sz="0" w:space="0" w:color="auto"/>
        <w:left w:val="none" w:sz="0" w:space="0" w:color="auto"/>
        <w:bottom w:val="none" w:sz="0" w:space="0" w:color="auto"/>
        <w:right w:val="none" w:sz="0" w:space="0" w:color="auto"/>
      </w:divBdr>
    </w:div>
    <w:div w:id="1956517169">
      <w:bodyDiv w:val="1"/>
      <w:marLeft w:val="0"/>
      <w:marRight w:val="0"/>
      <w:marTop w:val="0"/>
      <w:marBottom w:val="0"/>
      <w:divBdr>
        <w:top w:val="none" w:sz="0" w:space="0" w:color="auto"/>
        <w:left w:val="none" w:sz="0" w:space="0" w:color="auto"/>
        <w:bottom w:val="none" w:sz="0" w:space="0" w:color="auto"/>
        <w:right w:val="none" w:sz="0" w:space="0" w:color="auto"/>
      </w:divBdr>
    </w:div>
    <w:div w:id="1966960850">
      <w:bodyDiv w:val="1"/>
      <w:marLeft w:val="0"/>
      <w:marRight w:val="0"/>
      <w:marTop w:val="0"/>
      <w:marBottom w:val="0"/>
      <w:divBdr>
        <w:top w:val="none" w:sz="0" w:space="0" w:color="auto"/>
        <w:left w:val="none" w:sz="0" w:space="0" w:color="auto"/>
        <w:bottom w:val="none" w:sz="0" w:space="0" w:color="auto"/>
        <w:right w:val="none" w:sz="0" w:space="0" w:color="auto"/>
      </w:divBdr>
    </w:div>
    <w:div w:id="2013146398">
      <w:bodyDiv w:val="1"/>
      <w:marLeft w:val="0"/>
      <w:marRight w:val="0"/>
      <w:marTop w:val="0"/>
      <w:marBottom w:val="0"/>
      <w:divBdr>
        <w:top w:val="none" w:sz="0" w:space="0" w:color="auto"/>
        <w:left w:val="none" w:sz="0" w:space="0" w:color="auto"/>
        <w:bottom w:val="none" w:sz="0" w:space="0" w:color="auto"/>
        <w:right w:val="none" w:sz="0" w:space="0" w:color="auto"/>
      </w:divBdr>
    </w:div>
    <w:div w:id="2020042031">
      <w:bodyDiv w:val="1"/>
      <w:marLeft w:val="0"/>
      <w:marRight w:val="0"/>
      <w:marTop w:val="0"/>
      <w:marBottom w:val="0"/>
      <w:divBdr>
        <w:top w:val="none" w:sz="0" w:space="0" w:color="auto"/>
        <w:left w:val="none" w:sz="0" w:space="0" w:color="auto"/>
        <w:bottom w:val="none" w:sz="0" w:space="0" w:color="auto"/>
        <w:right w:val="none" w:sz="0" w:space="0" w:color="auto"/>
      </w:divBdr>
    </w:div>
    <w:div w:id="2056543305">
      <w:bodyDiv w:val="1"/>
      <w:marLeft w:val="0"/>
      <w:marRight w:val="0"/>
      <w:marTop w:val="0"/>
      <w:marBottom w:val="0"/>
      <w:divBdr>
        <w:top w:val="none" w:sz="0" w:space="0" w:color="auto"/>
        <w:left w:val="none" w:sz="0" w:space="0" w:color="auto"/>
        <w:bottom w:val="none" w:sz="0" w:space="0" w:color="auto"/>
        <w:right w:val="none" w:sz="0" w:space="0" w:color="auto"/>
      </w:divBdr>
    </w:div>
    <w:div w:id="2067873772">
      <w:bodyDiv w:val="1"/>
      <w:marLeft w:val="0"/>
      <w:marRight w:val="0"/>
      <w:marTop w:val="0"/>
      <w:marBottom w:val="0"/>
      <w:divBdr>
        <w:top w:val="none" w:sz="0" w:space="0" w:color="auto"/>
        <w:left w:val="none" w:sz="0" w:space="0" w:color="auto"/>
        <w:bottom w:val="none" w:sz="0" w:space="0" w:color="auto"/>
        <w:right w:val="none" w:sz="0" w:space="0" w:color="auto"/>
      </w:divBdr>
    </w:div>
    <w:div w:id="2100179373">
      <w:bodyDiv w:val="1"/>
      <w:marLeft w:val="0"/>
      <w:marRight w:val="0"/>
      <w:marTop w:val="0"/>
      <w:marBottom w:val="0"/>
      <w:divBdr>
        <w:top w:val="none" w:sz="0" w:space="0" w:color="auto"/>
        <w:left w:val="none" w:sz="0" w:space="0" w:color="auto"/>
        <w:bottom w:val="none" w:sz="0" w:space="0" w:color="auto"/>
        <w:right w:val="none" w:sz="0" w:space="0" w:color="auto"/>
      </w:divBdr>
    </w:div>
    <w:div w:id="21024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1431</Words>
  <Characters>8586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i.jankiewicz</dc:creator>
  <cp:lastModifiedBy>Aldona Zientalska</cp:lastModifiedBy>
  <cp:revision>2</cp:revision>
  <cp:lastPrinted>2020-11-13T09:33:00Z</cp:lastPrinted>
  <dcterms:created xsi:type="dcterms:W3CDTF">2020-11-16T10:32:00Z</dcterms:created>
  <dcterms:modified xsi:type="dcterms:W3CDTF">2020-11-16T10:32:00Z</dcterms:modified>
</cp:coreProperties>
</file>